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通识课程课程简介</w:t>
      </w:r>
    </w:p>
    <w:tbl>
      <w:tblPr>
        <w:tblStyle w:val="2"/>
        <w:tblW w:w="0" w:type="auto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50"/>
        <w:gridCol w:w="851"/>
        <w:gridCol w:w="1417"/>
        <w:gridCol w:w="2127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归属模块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开课学期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bookmarkStart w:id="0" w:name="_GoBack"/>
            <w:r>
              <w:rPr>
                <w:rFonts w:hint="eastAsia" w:ascii="楷体" w:hAnsi="楷体" w:eastAsia="楷体"/>
                <w:sz w:val="24"/>
                <w:szCs w:val="24"/>
              </w:rPr>
              <w:t>趣味数学</w:t>
            </w:r>
            <w:bookmarkEnd w:id="0"/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32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经济管理与数学思维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第5、7学期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陈丽萍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主要内容</w:t>
            </w:r>
          </w:p>
        </w:tc>
        <w:tc>
          <w:tcPr>
            <w:tcW w:w="7371" w:type="dxa"/>
            <w:gridSpan w:val="5"/>
            <w:noWrap w:val="0"/>
            <w:vAlign w:val="center"/>
          </w:tcPr>
          <w:p>
            <w:pPr>
              <w:ind w:firstLine="360" w:firstLineChars="15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本课程紧密联系生活中有关的趣味数学，通过丰富有趣的实例，从多角度来诠释数学中的美，填补数学理论与生活应用的鸿沟，让同学们领悟及欣赏数学在生活中所具有的意义和作用，引导学生发现生活中一些有趣的数学现象，引导学生多角度、多层次地思考生活中的数学问题，引导学生对生活中的事件进行细致地观察，理性地思考、分析判断，并解决问题，真正把数学理论应用于实践。主要内容有：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（1）数与数学的发展、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古今数学思想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（2课时）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（2）悖论与数学危机（2课时）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（3）黄金分割（2课时）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（4）日常生活中的数据处理（2课时）</w:t>
            </w: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（5）生活中的数学（8课时）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（6）漫游数据王国（4课时）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（7）探访随机世界（12课时）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教学目标及教学方法</w:t>
            </w:r>
          </w:p>
        </w:tc>
        <w:tc>
          <w:tcPr>
            <w:tcW w:w="7371" w:type="dxa"/>
            <w:gridSpan w:val="5"/>
            <w:noWrap w:val="0"/>
            <w:vAlign w:val="center"/>
          </w:tcPr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通过本课程的学习，理解《趣味数学》中的基本思想、基本理论、基本方法和技能；学会多角度、多层次地思考生活中的数学问题；学会对生活中的事件进行细致地观察，理性地思考、分析判断，并解决问题，真正能把数学理论应用到简单的日常生活中去。教学方法主要有课堂讲授、案例教学、自学与讨论相结合、翻转课堂等教学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考核要求</w:t>
            </w:r>
          </w:p>
        </w:tc>
        <w:tc>
          <w:tcPr>
            <w:tcW w:w="7371" w:type="dxa"/>
            <w:gridSpan w:val="5"/>
            <w:noWrap w:val="0"/>
            <w:vAlign w:val="center"/>
          </w:tcPr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（1）本课程为考查科目</w:t>
            </w: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（2）平时综合考核占总评成绩的50%，主要根据学生出勤情况、课堂表现情况等方面来确定；小组PPT设计及展示占总评成绩的50%。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>
      <w:pPr>
        <w:ind w:firstLine="360" w:firstLineChars="150"/>
        <w:jc w:val="left"/>
        <w:rPr>
          <w:rFonts w:hint="eastAsia" w:ascii="楷体" w:hAnsi="楷体" w:eastAsia="楷体"/>
          <w:sz w:val="24"/>
          <w:szCs w:val="24"/>
        </w:rPr>
      </w:pP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C01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2019-11-29T04:59:40Z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