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6"/>
          <w:szCs w:val="36"/>
        </w:rPr>
      </w:pPr>
      <w:r>
        <w:rPr>
          <w:rFonts w:hint="eastAsia" w:ascii="黑体" w:hAnsi="黑体" w:eastAsia="黑体"/>
          <w:sz w:val="36"/>
          <w:szCs w:val="36"/>
        </w:rPr>
        <w:t>通识课程</w:t>
      </w:r>
      <w:bookmarkStart w:id="0" w:name="_GoBack"/>
      <w:bookmarkEnd w:id="0"/>
      <w:r>
        <w:rPr>
          <w:rFonts w:hint="eastAsia" w:ascii="黑体" w:hAnsi="黑体" w:eastAsia="黑体"/>
          <w:sz w:val="36"/>
          <w:szCs w:val="36"/>
        </w:rPr>
        <w:t>简介</w:t>
      </w:r>
    </w:p>
    <w:tbl>
      <w:tblPr>
        <w:tblStyle w:val="2"/>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851"/>
        <w:gridCol w:w="1417"/>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418" w:type="dxa"/>
            <w:noWrap w:val="0"/>
            <w:vAlign w:val="center"/>
          </w:tcPr>
          <w:p>
            <w:pPr>
              <w:jc w:val="center"/>
              <w:rPr>
                <w:rFonts w:hint="eastAsia"/>
                <w:b/>
                <w:sz w:val="24"/>
                <w:szCs w:val="24"/>
              </w:rPr>
            </w:pPr>
            <w:r>
              <w:rPr>
                <w:rFonts w:hint="eastAsia"/>
                <w:b/>
                <w:sz w:val="24"/>
                <w:szCs w:val="24"/>
              </w:rPr>
              <w:t>课程名称</w:t>
            </w:r>
          </w:p>
        </w:tc>
        <w:tc>
          <w:tcPr>
            <w:tcW w:w="850" w:type="dxa"/>
            <w:noWrap w:val="0"/>
            <w:vAlign w:val="center"/>
          </w:tcPr>
          <w:p>
            <w:pPr>
              <w:jc w:val="center"/>
              <w:rPr>
                <w:rFonts w:hint="eastAsia"/>
                <w:b/>
                <w:sz w:val="24"/>
                <w:szCs w:val="24"/>
              </w:rPr>
            </w:pPr>
            <w:r>
              <w:rPr>
                <w:rFonts w:hint="eastAsia"/>
                <w:b/>
                <w:sz w:val="24"/>
                <w:szCs w:val="24"/>
              </w:rPr>
              <w:t>学分</w:t>
            </w:r>
          </w:p>
        </w:tc>
        <w:tc>
          <w:tcPr>
            <w:tcW w:w="851" w:type="dxa"/>
            <w:noWrap w:val="0"/>
            <w:vAlign w:val="center"/>
          </w:tcPr>
          <w:p>
            <w:pPr>
              <w:jc w:val="center"/>
              <w:rPr>
                <w:rFonts w:hint="eastAsia"/>
                <w:b/>
                <w:sz w:val="24"/>
                <w:szCs w:val="24"/>
              </w:rPr>
            </w:pPr>
            <w:r>
              <w:rPr>
                <w:rFonts w:hint="eastAsia"/>
                <w:b/>
                <w:sz w:val="24"/>
                <w:szCs w:val="24"/>
              </w:rPr>
              <w:t>学时</w:t>
            </w:r>
          </w:p>
        </w:tc>
        <w:tc>
          <w:tcPr>
            <w:tcW w:w="1417" w:type="dxa"/>
            <w:noWrap w:val="0"/>
            <w:vAlign w:val="center"/>
          </w:tcPr>
          <w:p>
            <w:pPr>
              <w:jc w:val="center"/>
              <w:rPr>
                <w:rFonts w:hint="eastAsia"/>
                <w:b/>
                <w:sz w:val="24"/>
                <w:szCs w:val="24"/>
              </w:rPr>
            </w:pPr>
            <w:r>
              <w:rPr>
                <w:rFonts w:hint="eastAsia"/>
                <w:b/>
                <w:sz w:val="24"/>
                <w:szCs w:val="24"/>
              </w:rPr>
              <w:t>归属模块</w:t>
            </w:r>
          </w:p>
        </w:tc>
        <w:tc>
          <w:tcPr>
            <w:tcW w:w="2127" w:type="dxa"/>
            <w:noWrap w:val="0"/>
            <w:vAlign w:val="center"/>
          </w:tcPr>
          <w:p>
            <w:pPr>
              <w:jc w:val="center"/>
              <w:rPr>
                <w:rFonts w:hint="eastAsia"/>
                <w:b/>
                <w:sz w:val="24"/>
                <w:szCs w:val="24"/>
              </w:rPr>
            </w:pPr>
            <w:r>
              <w:rPr>
                <w:rFonts w:hint="eastAsia"/>
                <w:b/>
                <w:sz w:val="24"/>
                <w:szCs w:val="24"/>
              </w:rPr>
              <w:t>开课学期</w:t>
            </w:r>
          </w:p>
        </w:tc>
        <w:tc>
          <w:tcPr>
            <w:tcW w:w="2126" w:type="dxa"/>
            <w:noWrap w:val="0"/>
            <w:vAlign w:val="center"/>
          </w:tcPr>
          <w:p>
            <w:pPr>
              <w:jc w:val="center"/>
              <w:rPr>
                <w:rFonts w:hint="eastAsia"/>
                <w:b/>
                <w:sz w:val="24"/>
                <w:szCs w:val="24"/>
              </w:rPr>
            </w:pPr>
            <w:r>
              <w:rPr>
                <w:rFonts w:hint="eastAsia"/>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18" w:type="dxa"/>
            <w:noWrap w:val="0"/>
            <w:vAlign w:val="center"/>
          </w:tcPr>
          <w:p>
            <w:pPr>
              <w:jc w:val="center"/>
              <w:rPr>
                <w:rFonts w:hint="eastAsia" w:ascii="楷体" w:hAnsi="楷体" w:eastAsia="楷体"/>
                <w:sz w:val="24"/>
                <w:szCs w:val="24"/>
                <w:lang w:eastAsia="zh-CN"/>
              </w:rPr>
            </w:pPr>
            <w:r>
              <w:rPr>
                <w:rFonts w:hint="eastAsia" w:ascii="楷体" w:hAnsi="楷体" w:eastAsia="楷体"/>
                <w:sz w:val="24"/>
                <w:szCs w:val="24"/>
                <w:lang w:eastAsia="zh-CN"/>
              </w:rPr>
              <w:t>网球裁判</w:t>
            </w:r>
          </w:p>
          <w:p>
            <w:pPr>
              <w:jc w:val="center"/>
              <w:rPr>
                <w:rFonts w:hint="eastAsia" w:ascii="楷体" w:hAnsi="楷体" w:eastAsia="楷体"/>
                <w:sz w:val="24"/>
                <w:szCs w:val="24"/>
                <w:lang w:eastAsia="zh-CN"/>
              </w:rPr>
            </w:pPr>
            <w:r>
              <w:rPr>
                <w:rFonts w:hint="eastAsia" w:ascii="楷体" w:hAnsi="楷体" w:eastAsia="楷体"/>
                <w:sz w:val="24"/>
                <w:szCs w:val="24"/>
                <w:lang w:eastAsia="zh-CN"/>
              </w:rPr>
              <w:t>规则</w:t>
            </w:r>
          </w:p>
        </w:tc>
        <w:tc>
          <w:tcPr>
            <w:tcW w:w="850" w:type="dxa"/>
            <w:noWrap w:val="0"/>
            <w:vAlign w:val="center"/>
          </w:tcPr>
          <w:p>
            <w:pPr>
              <w:jc w:val="center"/>
              <w:rPr>
                <w:rFonts w:hint="eastAsia" w:ascii="楷体" w:hAnsi="楷体" w:eastAsia="楷体"/>
                <w:sz w:val="24"/>
                <w:szCs w:val="24"/>
              </w:rPr>
            </w:pPr>
            <w:r>
              <w:rPr>
                <w:rFonts w:hint="eastAsia" w:ascii="楷体" w:hAnsi="楷体" w:eastAsia="楷体"/>
                <w:sz w:val="24"/>
                <w:szCs w:val="24"/>
              </w:rPr>
              <w:t>2</w:t>
            </w:r>
          </w:p>
        </w:tc>
        <w:tc>
          <w:tcPr>
            <w:tcW w:w="851" w:type="dxa"/>
            <w:noWrap w:val="0"/>
            <w:vAlign w:val="center"/>
          </w:tcPr>
          <w:p>
            <w:pPr>
              <w:jc w:val="center"/>
              <w:rPr>
                <w:rFonts w:ascii="楷体" w:hAnsi="楷体" w:eastAsia="楷体"/>
                <w:sz w:val="24"/>
                <w:szCs w:val="24"/>
              </w:rPr>
            </w:pPr>
            <w:r>
              <w:rPr>
                <w:rFonts w:hint="eastAsia" w:ascii="楷体" w:hAnsi="楷体" w:eastAsia="楷体"/>
                <w:sz w:val="24"/>
                <w:szCs w:val="24"/>
              </w:rPr>
              <w:t>32</w:t>
            </w:r>
          </w:p>
        </w:tc>
        <w:tc>
          <w:tcPr>
            <w:tcW w:w="1417" w:type="dxa"/>
            <w:noWrap w:val="0"/>
            <w:vAlign w:val="center"/>
          </w:tcPr>
          <w:p>
            <w:pPr>
              <w:jc w:val="center"/>
              <w:rPr>
                <w:rFonts w:hint="eastAsia" w:ascii="楷体" w:hAnsi="楷体" w:eastAsia="楷体"/>
                <w:sz w:val="24"/>
                <w:szCs w:val="24"/>
                <w:lang w:eastAsia="zh-CN"/>
              </w:rPr>
            </w:pPr>
            <w:r>
              <w:rPr>
                <w:rFonts w:hint="eastAsia" w:ascii="楷体" w:hAnsi="楷体" w:eastAsia="楷体"/>
                <w:sz w:val="24"/>
                <w:szCs w:val="24"/>
                <w:lang w:eastAsia="zh-CN"/>
              </w:rPr>
              <w:t>艺术修养和运动康复</w:t>
            </w:r>
          </w:p>
        </w:tc>
        <w:tc>
          <w:tcPr>
            <w:tcW w:w="2127" w:type="dxa"/>
            <w:noWrap w:val="0"/>
            <w:vAlign w:val="center"/>
          </w:tcPr>
          <w:p>
            <w:pPr>
              <w:jc w:val="center"/>
              <w:rPr>
                <w:rFonts w:hint="eastAsia" w:ascii="楷体" w:hAnsi="楷体" w:eastAsia="楷体"/>
                <w:sz w:val="24"/>
                <w:szCs w:val="24"/>
              </w:rPr>
            </w:pPr>
            <w:r>
              <w:rPr>
                <w:rFonts w:hint="eastAsia" w:ascii="楷体" w:hAnsi="楷体" w:eastAsia="楷体"/>
                <w:sz w:val="24"/>
                <w:szCs w:val="24"/>
              </w:rPr>
              <w:t>第</w:t>
            </w:r>
            <w:r>
              <w:rPr>
                <w:rFonts w:hint="eastAsia" w:ascii="楷体" w:hAnsi="楷体" w:eastAsia="楷体"/>
                <w:sz w:val="24"/>
                <w:szCs w:val="24"/>
                <w:lang w:val="en-US" w:eastAsia="zh-CN"/>
              </w:rPr>
              <w:t>1-7</w:t>
            </w:r>
            <w:r>
              <w:rPr>
                <w:rFonts w:hint="eastAsia" w:ascii="楷体" w:hAnsi="楷体" w:eastAsia="楷体"/>
                <w:sz w:val="24"/>
                <w:szCs w:val="24"/>
              </w:rPr>
              <w:t>学期</w:t>
            </w:r>
          </w:p>
        </w:tc>
        <w:tc>
          <w:tcPr>
            <w:tcW w:w="2126" w:type="dxa"/>
            <w:noWrap w:val="0"/>
            <w:vAlign w:val="center"/>
          </w:tcPr>
          <w:p>
            <w:pPr>
              <w:jc w:val="center"/>
              <w:rPr>
                <w:rFonts w:hint="eastAsia" w:ascii="楷体" w:hAnsi="楷体" w:eastAsia="楷体"/>
                <w:sz w:val="24"/>
                <w:szCs w:val="24"/>
                <w:lang w:eastAsia="zh-CN"/>
              </w:rPr>
            </w:pPr>
            <w:r>
              <w:rPr>
                <w:rFonts w:hint="eastAsia" w:ascii="楷体" w:hAnsi="楷体" w:eastAsia="楷体"/>
                <w:sz w:val="24"/>
                <w:szCs w:val="24"/>
                <w:lang w:eastAsia="zh-CN"/>
              </w:rPr>
              <w:t>王瑜娟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b/>
                <w:sz w:val="24"/>
                <w:szCs w:val="24"/>
              </w:rPr>
            </w:pPr>
            <w:r>
              <w:rPr>
                <w:rFonts w:hint="eastAsia"/>
                <w:b/>
                <w:sz w:val="24"/>
                <w:szCs w:val="24"/>
              </w:rPr>
              <w:t>课程</w:t>
            </w:r>
          </w:p>
          <w:p>
            <w:pPr>
              <w:jc w:val="center"/>
              <w:rPr>
                <w:rFonts w:hint="eastAsia" w:ascii="楷体" w:hAnsi="楷体" w:eastAsia="楷体"/>
                <w:b/>
                <w:sz w:val="24"/>
                <w:szCs w:val="24"/>
              </w:rPr>
            </w:pPr>
            <w:r>
              <w:rPr>
                <w:rFonts w:hint="eastAsia"/>
                <w:b/>
                <w:sz w:val="24"/>
                <w:szCs w:val="24"/>
              </w:rPr>
              <w:t>主要内容</w:t>
            </w:r>
          </w:p>
        </w:tc>
        <w:tc>
          <w:tcPr>
            <w:tcW w:w="7371" w:type="dxa"/>
            <w:gridSpan w:val="5"/>
            <w:noWrap w:val="0"/>
            <w:vAlign w:val="center"/>
          </w:tcPr>
          <w:p>
            <w:pPr>
              <w:ind w:firstLine="480" w:firstLineChars="200"/>
              <w:jc w:val="left"/>
              <w:rPr>
                <w:rFonts w:hint="eastAsia" w:ascii="楷体" w:hAnsi="楷体" w:eastAsia="楷体"/>
                <w:sz w:val="24"/>
                <w:szCs w:val="24"/>
                <w:lang w:eastAsia="zh-CN"/>
              </w:rPr>
            </w:pPr>
            <w:r>
              <w:rPr>
                <w:rFonts w:hint="eastAsia" w:ascii="楷体" w:hAnsi="楷体" w:eastAsia="楷体"/>
                <w:sz w:val="24"/>
                <w:szCs w:val="24"/>
              </w:rPr>
              <w:t>网球作为一项现代高雅运动越来越受到人们的喜爱。虽然我国的网球发展历史并不长，但是在几代人的努力下，我国的网球运动水平已有了跨时代的进步:我国运动员在世界高水平赛场上取得了优异的成绩，更多的职业赛事落户于中国。决定一个网球赛事的成功举办有多方面的因素，其中网球栽判水平是竟赛团队中非常重要的一环。《</w:t>
            </w:r>
            <w:r>
              <w:rPr>
                <w:rFonts w:hint="eastAsia" w:ascii="楷体" w:hAnsi="楷体" w:eastAsia="楷体"/>
                <w:sz w:val="24"/>
                <w:szCs w:val="24"/>
                <w:lang w:eastAsia="zh-CN"/>
              </w:rPr>
              <w:t>网球裁判规则</w:t>
            </w:r>
            <w:r>
              <w:rPr>
                <w:rFonts w:hint="eastAsia" w:ascii="楷体" w:hAnsi="楷体" w:eastAsia="楷体"/>
                <w:sz w:val="24"/>
                <w:szCs w:val="24"/>
              </w:rPr>
              <w:t>》</w:t>
            </w:r>
            <w:r>
              <w:rPr>
                <w:rFonts w:hint="eastAsia" w:ascii="楷体" w:hAnsi="楷体" w:eastAsia="楷体"/>
                <w:sz w:val="24"/>
                <w:szCs w:val="24"/>
                <w:lang w:eastAsia="zh-CN"/>
              </w:rPr>
              <w:t>是一门理论与实践相结合的应用型课程。课程以案例分析与实践的形式将网球竞赛带入大家的视野。</w:t>
            </w:r>
          </w:p>
          <w:p>
            <w:pPr>
              <w:ind w:firstLine="480" w:firstLineChars="200"/>
              <w:jc w:val="left"/>
              <w:rPr>
                <w:rFonts w:ascii="楷体" w:hAnsi="楷体" w:eastAsia="楷体"/>
                <w:sz w:val="24"/>
                <w:szCs w:val="24"/>
              </w:rPr>
            </w:pPr>
            <w:r>
              <w:rPr>
                <w:rFonts w:hint="eastAsia" w:ascii="楷体" w:hAnsi="楷体" w:eastAsia="楷体"/>
                <w:sz w:val="24"/>
                <w:szCs w:val="24"/>
              </w:rPr>
              <w:t>课程总学时数为</w:t>
            </w:r>
            <w:r>
              <w:rPr>
                <w:rFonts w:ascii="楷体" w:hAnsi="楷体" w:eastAsia="楷体"/>
                <w:sz w:val="24"/>
                <w:szCs w:val="24"/>
              </w:rPr>
              <w:t>3</w:t>
            </w:r>
            <w:r>
              <w:rPr>
                <w:rFonts w:hint="eastAsia" w:ascii="楷体" w:hAnsi="楷体" w:eastAsia="楷体"/>
                <w:sz w:val="24"/>
                <w:szCs w:val="24"/>
              </w:rPr>
              <w:t>2学时，其中</w:t>
            </w:r>
            <w:r>
              <w:rPr>
                <w:rFonts w:hint="eastAsia" w:ascii="楷体" w:hAnsi="楷体" w:eastAsia="楷体"/>
                <w:sz w:val="24"/>
                <w:szCs w:val="24"/>
                <w:lang w:eastAsia="zh-CN"/>
              </w:rPr>
              <w:t>理论</w:t>
            </w:r>
            <w:r>
              <w:rPr>
                <w:rFonts w:hint="eastAsia" w:ascii="楷体" w:hAnsi="楷体" w:eastAsia="楷体"/>
                <w:sz w:val="24"/>
                <w:szCs w:val="24"/>
                <w:lang w:val="en-US" w:eastAsia="zh-CN"/>
              </w:rPr>
              <w:t>22节</w:t>
            </w:r>
            <w:r>
              <w:rPr>
                <w:rFonts w:hint="eastAsia" w:ascii="楷体" w:hAnsi="楷体" w:eastAsia="楷体"/>
                <w:sz w:val="24"/>
                <w:szCs w:val="24"/>
              </w:rPr>
              <w:t>，</w:t>
            </w:r>
            <w:r>
              <w:rPr>
                <w:rFonts w:hint="eastAsia" w:ascii="楷体" w:hAnsi="楷体" w:eastAsia="楷体"/>
                <w:sz w:val="24"/>
                <w:szCs w:val="24"/>
                <w:lang w:eastAsia="zh-CN"/>
              </w:rPr>
              <w:t>实践</w:t>
            </w:r>
            <w:r>
              <w:rPr>
                <w:rFonts w:hint="eastAsia" w:ascii="楷体" w:hAnsi="楷体" w:eastAsia="楷体"/>
                <w:sz w:val="24"/>
                <w:szCs w:val="24"/>
                <w:lang w:val="en-US" w:eastAsia="zh-CN"/>
              </w:rPr>
              <w:t>10节</w:t>
            </w:r>
            <w:r>
              <w:rPr>
                <w:rFonts w:hint="eastAsia" w:ascii="楷体" w:hAnsi="楷体" w:eastAsia="楷体"/>
                <w:sz w:val="24"/>
                <w:szCs w:val="24"/>
              </w:rPr>
              <w:t>。课程</w:t>
            </w:r>
            <w:r>
              <w:rPr>
                <w:rFonts w:hint="eastAsia" w:ascii="楷体" w:hAnsi="楷体" w:eastAsia="楷体"/>
                <w:sz w:val="24"/>
                <w:szCs w:val="24"/>
                <w:lang w:eastAsia="zh-CN"/>
              </w:rPr>
              <w:t>当中的裁判规则篇</w:t>
            </w:r>
            <w:r>
              <w:rPr>
                <w:rFonts w:hint="eastAsia" w:ascii="楷体" w:hAnsi="楷体" w:eastAsia="楷体"/>
                <w:sz w:val="24"/>
                <w:szCs w:val="24"/>
              </w:rPr>
              <w:t>精选了</w:t>
            </w:r>
            <w:r>
              <w:rPr>
                <w:rFonts w:hint="eastAsia" w:ascii="楷体" w:hAnsi="楷体" w:eastAsia="楷体"/>
                <w:sz w:val="24"/>
                <w:szCs w:val="24"/>
                <w:lang w:val="en-US" w:eastAsia="zh-CN"/>
              </w:rPr>
              <w:t>200个案例分析</w:t>
            </w:r>
            <w:r>
              <w:rPr>
                <w:rFonts w:hint="eastAsia" w:ascii="楷体" w:hAnsi="楷体" w:eastAsia="楷体"/>
                <w:sz w:val="24"/>
                <w:szCs w:val="24"/>
              </w:rPr>
              <w:t>，</w:t>
            </w:r>
            <w:r>
              <w:rPr>
                <w:rFonts w:hint="eastAsia" w:ascii="楷体" w:hAnsi="楷体" w:eastAsia="楷体"/>
                <w:sz w:val="24"/>
                <w:szCs w:val="24"/>
                <w:lang w:eastAsia="zh-CN"/>
              </w:rPr>
              <w:t>并有视频解析，图文并茂，使学生易于理解记忆与运用</w:t>
            </w:r>
            <w:r>
              <w:rPr>
                <w:rFonts w:hint="eastAsia" w:ascii="楷体" w:hAnsi="楷体" w:eastAsia="楷体"/>
                <w:sz w:val="24"/>
                <w:szCs w:val="24"/>
              </w:rPr>
              <w:t>。</w:t>
            </w:r>
          </w:p>
          <w:p>
            <w:pPr>
              <w:ind w:firstLine="480" w:firstLineChars="200"/>
              <w:jc w:val="left"/>
              <w:rPr>
                <w:rFonts w:hint="eastAsia" w:ascii="楷体" w:hAnsi="楷体" w:eastAsia="楷体"/>
                <w:sz w:val="24"/>
                <w:szCs w:val="24"/>
              </w:rPr>
            </w:pPr>
            <w:r>
              <w:rPr>
                <w:rFonts w:hint="eastAsia" w:ascii="楷体" w:hAnsi="楷体" w:eastAsia="楷体"/>
                <w:sz w:val="24"/>
                <w:szCs w:val="24"/>
              </w:rPr>
              <w:t>主要内容有：</w:t>
            </w:r>
          </w:p>
          <w:p>
            <w:pPr>
              <w:ind w:firstLine="480" w:firstLineChars="200"/>
              <w:jc w:val="left"/>
              <w:rPr>
                <w:rFonts w:hint="eastAsia" w:ascii="楷体" w:hAnsi="楷体" w:eastAsia="楷体"/>
                <w:sz w:val="24"/>
                <w:szCs w:val="24"/>
                <w:lang w:eastAsia="zh-CN"/>
              </w:rPr>
            </w:pPr>
            <w:r>
              <w:rPr>
                <w:rFonts w:hint="eastAsia" w:ascii="楷体" w:hAnsi="楷体" w:eastAsia="楷体"/>
                <w:sz w:val="24"/>
                <w:szCs w:val="24"/>
                <w:lang w:eastAsia="zh-CN"/>
              </w:rPr>
              <w:t>第一篇</w:t>
            </w:r>
            <w:r>
              <w:rPr>
                <w:rFonts w:hint="eastAsia" w:ascii="楷体" w:hAnsi="楷体" w:eastAsia="楷体"/>
                <w:sz w:val="24"/>
                <w:szCs w:val="24"/>
                <w:lang w:val="en-US" w:eastAsia="zh-CN"/>
              </w:rPr>
              <w:t xml:space="preserve"> 网球裁判</w:t>
            </w:r>
            <w:r>
              <w:rPr>
                <w:rFonts w:hint="eastAsia" w:ascii="楷体" w:hAnsi="楷体" w:eastAsia="楷体"/>
                <w:sz w:val="24"/>
                <w:szCs w:val="24"/>
              </w:rPr>
              <w:t>规则篇</w:t>
            </w:r>
            <w:r>
              <w:rPr>
                <w:rFonts w:hint="eastAsia" w:ascii="楷体" w:hAnsi="楷体" w:eastAsia="楷体"/>
                <w:sz w:val="24"/>
                <w:szCs w:val="24"/>
                <w:lang w:eastAsia="zh-CN"/>
              </w:rPr>
              <w:t>（</w:t>
            </w:r>
            <w:r>
              <w:rPr>
                <w:rFonts w:hint="eastAsia" w:ascii="楷体" w:hAnsi="楷体" w:eastAsia="楷体"/>
                <w:sz w:val="24"/>
                <w:szCs w:val="24"/>
                <w:lang w:val="en-US" w:eastAsia="zh-CN"/>
              </w:rPr>
              <w:t>12学时</w:t>
            </w:r>
            <w:r>
              <w:rPr>
                <w:rFonts w:hint="eastAsia" w:ascii="楷体" w:hAnsi="楷体" w:eastAsia="楷体"/>
                <w:sz w:val="24"/>
                <w:szCs w:val="24"/>
                <w:lang w:eastAsia="zh-CN"/>
              </w:rPr>
              <w:t>）</w:t>
            </w:r>
          </w:p>
          <w:p>
            <w:pPr>
              <w:ind w:firstLine="480" w:firstLineChars="200"/>
              <w:jc w:val="left"/>
              <w:rPr>
                <w:rFonts w:hint="eastAsia" w:ascii="楷体" w:hAnsi="楷体" w:eastAsia="楷体"/>
                <w:sz w:val="24"/>
                <w:szCs w:val="24"/>
                <w:lang w:eastAsia="zh-CN"/>
              </w:rPr>
            </w:pPr>
            <w:r>
              <w:rPr>
                <w:rFonts w:hint="eastAsia" w:ascii="楷体" w:hAnsi="楷体" w:eastAsia="楷体"/>
                <w:sz w:val="24"/>
                <w:szCs w:val="24"/>
                <w:lang w:eastAsia="zh-CN"/>
              </w:rPr>
              <w:t>第二篇</w:t>
            </w:r>
            <w:r>
              <w:rPr>
                <w:rFonts w:hint="eastAsia" w:ascii="楷体" w:hAnsi="楷体" w:eastAsia="楷体"/>
                <w:sz w:val="24"/>
                <w:szCs w:val="24"/>
                <w:lang w:val="en-US" w:eastAsia="zh-CN"/>
              </w:rPr>
              <w:t xml:space="preserve"> 网球</w:t>
            </w:r>
            <w:r>
              <w:rPr>
                <w:rFonts w:hint="eastAsia" w:ascii="楷体" w:hAnsi="楷体" w:eastAsia="楷体"/>
                <w:sz w:val="24"/>
                <w:szCs w:val="24"/>
              </w:rPr>
              <w:t>竞赛篇</w:t>
            </w:r>
            <w:r>
              <w:rPr>
                <w:rFonts w:hint="eastAsia" w:ascii="楷体" w:hAnsi="楷体" w:eastAsia="楷体"/>
                <w:sz w:val="24"/>
                <w:szCs w:val="24"/>
                <w:lang w:eastAsia="zh-CN"/>
              </w:rPr>
              <w:t>（</w:t>
            </w:r>
            <w:r>
              <w:rPr>
                <w:rFonts w:hint="eastAsia" w:ascii="楷体" w:hAnsi="楷体" w:eastAsia="楷体"/>
                <w:sz w:val="24"/>
                <w:szCs w:val="24"/>
                <w:lang w:val="en-US" w:eastAsia="zh-CN"/>
              </w:rPr>
              <w:t>8学时</w:t>
            </w:r>
            <w:r>
              <w:rPr>
                <w:rFonts w:hint="eastAsia" w:ascii="楷体" w:hAnsi="楷体" w:eastAsia="楷体"/>
                <w:sz w:val="24"/>
                <w:szCs w:val="24"/>
                <w:lang w:eastAsia="zh-CN"/>
              </w:rPr>
              <w:t>）</w:t>
            </w:r>
          </w:p>
          <w:p>
            <w:pPr>
              <w:ind w:firstLine="480" w:firstLineChars="200"/>
              <w:jc w:val="left"/>
              <w:rPr>
                <w:rFonts w:hint="eastAsia" w:ascii="楷体" w:hAnsi="楷体" w:eastAsia="楷体"/>
                <w:sz w:val="24"/>
                <w:szCs w:val="24"/>
                <w:lang w:eastAsia="zh-CN"/>
              </w:rPr>
            </w:pPr>
            <w:r>
              <w:rPr>
                <w:rFonts w:hint="eastAsia" w:ascii="楷体" w:hAnsi="楷体" w:eastAsia="楷体"/>
                <w:sz w:val="24"/>
                <w:szCs w:val="24"/>
                <w:lang w:eastAsia="zh-CN"/>
              </w:rPr>
              <w:t>第三篇</w:t>
            </w:r>
            <w:r>
              <w:rPr>
                <w:rFonts w:hint="eastAsia" w:ascii="楷体" w:hAnsi="楷体" w:eastAsia="楷体"/>
                <w:sz w:val="24"/>
                <w:szCs w:val="24"/>
                <w:lang w:val="en-US" w:eastAsia="zh-CN"/>
              </w:rPr>
              <w:t xml:space="preserve"> 网球</w:t>
            </w:r>
            <w:r>
              <w:rPr>
                <w:rFonts w:hint="eastAsia" w:ascii="楷体" w:hAnsi="楷体" w:eastAsia="楷体"/>
                <w:sz w:val="24"/>
                <w:szCs w:val="24"/>
              </w:rPr>
              <w:t>实践篇</w:t>
            </w:r>
            <w:r>
              <w:rPr>
                <w:rFonts w:hint="eastAsia" w:ascii="楷体" w:hAnsi="楷体" w:eastAsia="楷体"/>
                <w:sz w:val="24"/>
                <w:szCs w:val="24"/>
                <w:lang w:eastAsia="zh-CN"/>
              </w:rPr>
              <w:t>（</w:t>
            </w:r>
            <w:r>
              <w:rPr>
                <w:rFonts w:hint="eastAsia" w:ascii="楷体" w:hAnsi="楷体" w:eastAsia="楷体"/>
                <w:sz w:val="24"/>
                <w:szCs w:val="24"/>
                <w:lang w:val="en-US" w:eastAsia="zh-CN"/>
              </w:rPr>
              <w:t>8学时</w:t>
            </w:r>
            <w:r>
              <w:rPr>
                <w:rFonts w:hint="eastAsia" w:ascii="楷体" w:hAnsi="楷体" w:eastAsia="楷体"/>
                <w:sz w:val="24"/>
                <w:szCs w:val="24"/>
                <w:lang w:eastAsia="zh-CN"/>
              </w:rPr>
              <w:t>）</w:t>
            </w:r>
          </w:p>
          <w:p>
            <w:pPr>
              <w:ind w:firstLine="480" w:firstLineChars="200"/>
              <w:jc w:val="left"/>
              <w:rPr>
                <w:rFonts w:hint="eastAsia" w:ascii="楷体" w:hAnsi="楷体" w:eastAsia="楷体"/>
                <w:sz w:val="24"/>
                <w:szCs w:val="24"/>
                <w:lang w:eastAsia="zh-CN"/>
              </w:rPr>
            </w:pPr>
            <w:r>
              <w:rPr>
                <w:rFonts w:hint="eastAsia" w:ascii="楷体" w:hAnsi="楷体" w:eastAsia="楷体"/>
                <w:sz w:val="24"/>
                <w:szCs w:val="24"/>
                <w:lang w:eastAsia="zh-CN"/>
              </w:rPr>
              <w:t>第四篇</w:t>
            </w:r>
            <w:r>
              <w:rPr>
                <w:rFonts w:hint="eastAsia" w:ascii="楷体" w:hAnsi="楷体" w:eastAsia="楷体"/>
                <w:sz w:val="24"/>
                <w:szCs w:val="24"/>
                <w:lang w:val="en-US" w:eastAsia="zh-CN"/>
              </w:rPr>
              <w:t xml:space="preserve"> </w:t>
            </w:r>
            <w:r>
              <w:rPr>
                <w:rFonts w:hint="eastAsia" w:ascii="楷体" w:hAnsi="楷体" w:eastAsia="楷体"/>
                <w:sz w:val="24"/>
                <w:szCs w:val="24"/>
              </w:rPr>
              <w:t>考试篇</w:t>
            </w:r>
            <w:r>
              <w:rPr>
                <w:rFonts w:hint="eastAsia" w:ascii="楷体" w:hAnsi="楷体" w:eastAsia="楷体"/>
                <w:sz w:val="24"/>
                <w:szCs w:val="24"/>
                <w:lang w:eastAsia="zh-CN"/>
              </w:rPr>
              <w:t>（</w:t>
            </w:r>
            <w:r>
              <w:rPr>
                <w:rFonts w:hint="eastAsia" w:ascii="楷体" w:hAnsi="楷体" w:eastAsia="楷体"/>
                <w:sz w:val="24"/>
                <w:szCs w:val="24"/>
                <w:lang w:val="en-US" w:eastAsia="zh-CN"/>
              </w:rPr>
              <w:t>4学时</w:t>
            </w:r>
            <w:r>
              <w:rPr>
                <w:rFonts w:hint="eastAsia" w:ascii="楷体" w:hAnsi="楷体" w:eastAsia="楷体"/>
                <w:sz w:val="24"/>
                <w:szCs w:val="24"/>
                <w:lang w:eastAsia="zh-CN"/>
              </w:rPr>
              <w:t>）</w:t>
            </w:r>
          </w:p>
          <w:p>
            <w:pPr>
              <w:ind w:firstLine="480" w:firstLineChars="200"/>
              <w:jc w:val="left"/>
              <w:rPr>
                <w:rFonts w:hint="eastAsia" w:ascii="楷体" w:hAnsi="楷体" w:eastAsia="楷体"/>
                <w:sz w:val="24"/>
                <w:szCs w:val="24"/>
              </w:rPr>
            </w:pPr>
          </w:p>
          <w:p>
            <w:pPr>
              <w:jc w:val="left"/>
              <w:rPr>
                <w:rFonts w:hint="eastAsia"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教学目标及教学方法</w:t>
            </w:r>
          </w:p>
        </w:tc>
        <w:tc>
          <w:tcPr>
            <w:tcW w:w="7371" w:type="dxa"/>
            <w:gridSpan w:val="5"/>
            <w:noWrap w:val="0"/>
            <w:vAlign w:val="center"/>
          </w:tcPr>
          <w:p>
            <w:pPr>
              <w:ind w:firstLine="480" w:firstLineChars="200"/>
              <w:jc w:val="left"/>
              <w:rPr>
                <w:rFonts w:hint="eastAsia" w:ascii="楷体" w:hAnsi="楷体" w:eastAsia="楷体"/>
                <w:sz w:val="24"/>
                <w:szCs w:val="24"/>
                <w:lang w:eastAsia="zh-CN"/>
              </w:rPr>
            </w:pPr>
            <w:r>
              <w:rPr>
                <w:rFonts w:hint="eastAsia" w:ascii="楷体" w:hAnsi="楷体" w:eastAsia="楷体"/>
                <w:sz w:val="24"/>
                <w:szCs w:val="24"/>
              </w:rPr>
              <w:t>通过本课程的学习，</w:t>
            </w:r>
            <w:r>
              <w:rPr>
                <w:rFonts w:hint="eastAsia" w:ascii="楷体" w:hAnsi="楷体" w:eastAsia="楷体"/>
                <w:sz w:val="24"/>
                <w:szCs w:val="24"/>
                <w:lang w:eastAsia="zh-CN"/>
              </w:rPr>
              <w:t>使学生了解基本网球裁判规则的基础之上，进行网球竞赛的实践</w:t>
            </w:r>
            <w:r>
              <w:rPr>
                <w:rFonts w:hint="eastAsia" w:ascii="楷体" w:hAnsi="楷体" w:eastAsia="楷体"/>
                <w:sz w:val="24"/>
                <w:szCs w:val="24"/>
              </w:rPr>
              <w:t>应用，</w:t>
            </w:r>
            <w:r>
              <w:rPr>
                <w:rFonts w:hint="eastAsia" w:ascii="楷体" w:hAnsi="楷体" w:eastAsia="楷体"/>
                <w:sz w:val="24"/>
                <w:szCs w:val="24"/>
                <w:lang w:eastAsia="zh-CN"/>
              </w:rPr>
              <w:t>帮助广大网球爱好者更好地理解网球运动，并为有志于从事网球裁判事业者提供帮助。本课程对网球比赛中各级裁判工作性质和工作方法进行了详细的讲述。通过200多个案例分析从不同角度对规则做出解释，并且所有的案例均配有图片和视频给予更加直观的感受，便于学习和理解。</w:t>
            </w:r>
          </w:p>
          <w:p>
            <w:pPr>
              <w:ind w:firstLine="480" w:firstLineChars="200"/>
              <w:jc w:val="left"/>
              <w:rPr>
                <w:rFonts w:ascii="楷体" w:hAnsi="楷体" w:eastAsia="楷体"/>
                <w:sz w:val="24"/>
                <w:szCs w:val="24"/>
              </w:rPr>
            </w:pPr>
            <w:r>
              <w:rPr>
                <w:rFonts w:hint="eastAsia" w:ascii="楷体" w:hAnsi="楷体" w:eastAsia="楷体"/>
                <w:sz w:val="24"/>
                <w:szCs w:val="24"/>
              </w:rPr>
              <w:t>在教学方法上主要采用</w:t>
            </w:r>
            <w:r>
              <w:rPr>
                <w:rFonts w:hint="eastAsia" w:ascii="楷体" w:hAnsi="楷体" w:eastAsia="楷体"/>
                <w:sz w:val="24"/>
                <w:szCs w:val="24"/>
                <w:lang w:eastAsia="zh-CN"/>
              </w:rPr>
              <w:t>课堂理论</w:t>
            </w:r>
            <w:r>
              <w:rPr>
                <w:rFonts w:hint="eastAsia" w:ascii="楷体" w:hAnsi="楷体" w:eastAsia="楷体"/>
                <w:sz w:val="24"/>
                <w:szCs w:val="24"/>
              </w:rPr>
              <w:t>视频教学、知识要点文档、课后答疑、单元检测及</w:t>
            </w:r>
            <w:r>
              <w:rPr>
                <w:rFonts w:hint="eastAsia" w:ascii="楷体" w:hAnsi="楷体" w:eastAsia="楷体"/>
                <w:sz w:val="24"/>
                <w:szCs w:val="24"/>
                <w:lang w:eastAsia="zh-CN"/>
              </w:rPr>
              <w:t>实践应用</w:t>
            </w:r>
            <w:r>
              <w:rPr>
                <w:rFonts w:hint="eastAsia" w:ascii="楷体" w:hAnsi="楷体" w:eastAsia="楷体"/>
                <w:sz w:val="24"/>
                <w:szCs w:val="24"/>
              </w:rPr>
              <w:t>等多元化的方式，充分利用信息技术的优势，</w:t>
            </w:r>
            <w:r>
              <w:rPr>
                <w:rFonts w:hint="eastAsia" w:ascii="楷体" w:hAnsi="楷体" w:eastAsia="楷体"/>
                <w:sz w:val="24"/>
                <w:szCs w:val="24"/>
                <w:lang w:eastAsia="zh-CN"/>
              </w:rPr>
              <w:t>将理论与实践充分结合的</w:t>
            </w:r>
            <w:r>
              <w:rPr>
                <w:rFonts w:hint="eastAsia" w:ascii="楷体" w:hAnsi="楷体" w:eastAsia="楷体"/>
                <w:sz w:val="24"/>
                <w:szCs w:val="24"/>
              </w:rPr>
              <w:t>教学方</w:t>
            </w:r>
            <w:r>
              <w:rPr>
                <w:rFonts w:hint="eastAsia" w:ascii="楷体" w:hAnsi="楷体" w:eastAsia="楷体"/>
                <w:sz w:val="24"/>
                <w:szCs w:val="24"/>
                <w:lang w:eastAsia="zh-CN"/>
              </w:rPr>
              <w:t>法</w:t>
            </w:r>
            <w:r>
              <w:rPr>
                <w:rFonts w:hint="eastAsia" w:ascii="楷体" w:hAnsi="楷体" w:eastAsia="楷体"/>
                <w:sz w:val="24"/>
                <w:szCs w:val="24"/>
              </w:rPr>
              <w:t>。</w:t>
            </w:r>
          </w:p>
          <w:p>
            <w:pPr>
              <w:ind w:firstLine="480" w:firstLineChars="200"/>
              <w:jc w:val="left"/>
              <w:rPr>
                <w:rFonts w:hint="eastAsia"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考核要求</w:t>
            </w:r>
          </w:p>
        </w:tc>
        <w:tc>
          <w:tcPr>
            <w:tcW w:w="7371" w:type="dxa"/>
            <w:gridSpan w:val="5"/>
            <w:noWrap w:val="0"/>
            <w:vAlign w:val="center"/>
          </w:tcPr>
          <w:p>
            <w:pPr>
              <w:jc w:val="left"/>
              <w:rPr>
                <w:rFonts w:hint="eastAsia" w:ascii="楷体" w:hAnsi="楷体" w:eastAsia="楷体"/>
                <w:sz w:val="24"/>
                <w:szCs w:val="24"/>
              </w:rPr>
            </w:pPr>
          </w:p>
          <w:p>
            <w:pPr>
              <w:ind w:firstLine="480" w:firstLineChars="200"/>
              <w:jc w:val="left"/>
              <w:rPr>
                <w:rFonts w:ascii="楷体" w:hAnsi="楷体" w:eastAsia="楷体"/>
                <w:sz w:val="24"/>
                <w:szCs w:val="24"/>
              </w:rPr>
            </w:pPr>
            <w:r>
              <w:rPr>
                <w:rFonts w:hint="eastAsia" w:ascii="楷体" w:hAnsi="楷体" w:eastAsia="楷体"/>
                <w:sz w:val="24"/>
                <w:szCs w:val="24"/>
              </w:rPr>
              <w:t>（1）本课程为考查科目</w:t>
            </w:r>
          </w:p>
          <w:p>
            <w:pPr>
              <w:ind w:firstLine="480" w:firstLineChars="200"/>
              <w:jc w:val="left"/>
              <w:rPr>
                <w:rFonts w:hint="eastAsia" w:ascii="楷体" w:hAnsi="楷体" w:eastAsia="楷体"/>
                <w:sz w:val="24"/>
                <w:szCs w:val="24"/>
              </w:rPr>
            </w:pPr>
            <w:r>
              <w:rPr>
                <w:rFonts w:hint="eastAsia" w:ascii="楷体" w:hAnsi="楷体" w:eastAsia="楷体"/>
                <w:sz w:val="24"/>
                <w:szCs w:val="24"/>
              </w:rPr>
              <w:t>（2）</w:t>
            </w:r>
            <w:r>
              <w:rPr>
                <w:rFonts w:ascii="楷体" w:hAnsi="楷体" w:eastAsia="楷体"/>
                <w:sz w:val="24"/>
                <w:szCs w:val="24"/>
              </w:rPr>
              <w:t>平时成绩</w:t>
            </w:r>
            <w:r>
              <w:rPr>
                <w:rFonts w:hint="eastAsia" w:ascii="楷体" w:hAnsi="楷体" w:eastAsia="楷体"/>
                <w:sz w:val="24"/>
                <w:szCs w:val="24"/>
              </w:rPr>
              <w:t>（50分</w:t>
            </w:r>
            <w:r>
              <w:rPr>
                <w:rFonts w:ascii="楷体" w:hAnsi="楷体" w:eastAsia="楷体"/>
                <w:sz w:val="24"/>
                <w:szCs w:val="24"/>
              </w:rPr>
              <w:t>=学习进度分15分+学习行为分 35分</w:t>
            </w:r>
            <w:r>
              <w:rPr>
                <w:rFonts w:hint="eastAsia" w:ascii="楷体" w:hAnsi="楷体" w:eastAsia="楷体"/>
                <w:sz w:val="24"/>
                <w:szCs w:val="24"/>
              </w:rPr>
              <w:t>），每</w:t>
            </w:r>
            <w:r>
              <w:rPr>
                <w:rFonts w:hint="eastAsia" w:ascii="楷体" w:hAnsi="楷体" w:eastAsia="楷体"/>
                <w:sz w:val="24"/>
                <w:szCs w:val="24"/>
                <w:lang w:eastAsia="zh-CN"/>
              </w:rPr>
              <w:t>篇测试</w:t>
            </w:r>
            <w:r>
              <w:rPr>
                <w:rFonts w:hint="eastAsia" w:ascii="楷体" w:hAnsi="楷体" w:eastAsia="楷体"/>
                <w:sz w:val="24"/>
                <w:szCs w:val="24"/>
              </w:rPr>
              <w:t>（10分），期末考试（40分）。</w:t>
            </w:r>
          </w:p>
          <w:p>
            <w:pPr>
              <w:jc w:val="left"/>
              <w:rPr>
                <w:rFonts w:hint="eastAsia" w:ascii="楷体" w:hAnsi="楷体" w:eastAsia="楷体"/>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9D7F8C"/>
    <w:rsid w:val="79A02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2019-11-29T03:48:40Z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