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6"/>
          <w:szCs w:val="36"/>
        </w:rPr>
      </w:pPr>
      <w:r>
        <w:rPr>
          <w:rFonts w:hint="eastAsia" w:ascii="黑体" w:hAnsi="黑体" w:eastAsia="黑体"/>
          <w:sz w:val="36"/>
          <w:szCs w:val="36"/>
        </w:rPr>
        <w:t>通识课程简介</w:t>
      </w:r>
    </w:p>
    <w:tbl>
      <w:tblPr>
        <w:tblStyle w:val="2"/>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
        <w:gridCol w:w="851"/>
        <w:gridCol w:w="1417"/>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418" w:type="dxa"/>
            <w:noWrap w:val="0"/>
            <w:vAlign w:val="center"/>
          </w:tcPr>
          <w:p>
            <w:pPr>
              <w:jc w:val="center"/>
              <w:rPr>
                <w:rFonts w:hint="eastAsia"/>
                <w:b/>
                <w:sz w:val="24"/>
                <w:szCs w:val="24"/>
              </w:rPr>
            </w:pPr>
            <w:r>
              <w:rPr>
                <w:rFonts w:hint="eastAsia"/>
                <w:b/>
                <w:sz w:val="24"/>
                <w:szCs w:val="24"/>
              </w:rPr>
              <w:t>课程名称</w:t>
            </w:r>
          </w:p>
        </w:tc>
        <w:tc>
          <w:tcPr>
            <w:tcW w:w="850" w:type="dxa"/>
            <w:noWrap w:val="0"/>
            <w:vAlign w:val="center"/>
          </w:tcPr>
          <w:p>
            <w:pPr>
              <w:jc w:val="center"/>
              <w:rPr>
                <w:rFonts w:hint="eastAsia"/>
                <w:b/>
                <w:sz w:val="24"/>
                <w:szCs w:val="24"/>
              </w:rPr>
            </w:pPr>
            <w:r>
              <w:rPr>
                <w:rFonts w:hint="eastAsia"/>
                <w:b/>
                <w:sz w:val="24"/>
                <w:szCs w:val="24"/>
              </w:rPr>
              <w:t>学分</w:t>
            </w:r>
          </w:p>
        </w:tc>
        <w:tc>
          <w:tcPr>
            <w:tcW w:w="851" w:type="dxa"/>
            <w:noWrap w:val="0"/>
            <w:vAlign w:val="center"/>
          </w:tcPr>
          <w:p>
            <w:pPr>
              <w:jc w:val="center"/>
              <w:rPr>
                <w:rFonts w:hint="eastAsia"/>
                <w:b/>
                <w:sz w:val="24"/>
                <w:szCs w:val="24"/>
              </w:rPr>
            </w:pPr>
            <w:r>
              <w:rPr>
                <w:rFonts w:hint="eastAsia"/>
                <w:b/>
                <w:sz w:val="24"/>
                <w:szCs w:val="24"/>
              </w:rPr>
              <w:t>学时</w:t>
            </w:r>
          </w:p>
        </w:tc>
        <w:tc>
          <w:tcPr>
            <w:tcW w:w="1417" w:type="dxa"/>
            <w:noWrap w:val="0"/>
            <w:vAlign w:val="center"/>
          </w:tcPr>
          <w:p>
            <w:pPr>
              <w:jc w:val="center"/>
              <w:rPr>
                <w:rFonts w:hint="eastAsia"/>
                <w:b/>
                <w:sz w:val="24"/>
                <w:szCs w:val="24"/>
              </w:rPr>
            </w:pPr>
            <w:r>
              <w:rPr>
                <w:rFonts w:hint="eastAsia"/>
                <w:b/>
                <w:sz w:val="24"/>
                <w:szCs w:val="24"/>
              </w:rPr>
              <w:t>归属模块</w:t>
            </w:r>
          </w:p>
        </w:tc>
        <w:tc>
          <w:tcPr>
            <w:tcW w:w="2127" w:type="dxa"/>
            <w:noWrap w:val="0"/>
            <w:vAlign w:val="center"/>
          </w:tcPr>
          <w:p>
            <w:pPr>
              <w:jc w:val="center"/>
              <w:rPr>
                <w:rFonts w:hint="eastAsia"/>
                <w:b/>
                <w:sz w:val="24"/>
                <w:szCs w:val="24"/>
              </w:rPr>
            </w:pPr>
            <w:r>
              <w:rPr>
                <w:rFonts w:hint="eastAsia"/>
                <w:b/>
                <w:sz w:val="24"/>
                <w:szCs w:val="24"/>
              </w:rPr>
              <w:t>开课学期</w:t>
            </w:r>
          </w:p>
        </w:tc>
        <w:tc>
          <w:tcPr>
            <w:tcW w:w="2126" w:type="dxa"/>
            <w:noWrap w:val="0"/>
            <w:vAlign w:val="center"/>
          </w:tcPr>
          <w:p>
            <w:pPr>
              <w:jc w:val="center"/>
              <w:rPr>
                <w:rFonts w:hint="eastAsia"/>
                <w:b/>
                <w:sz w:val="24"/>
                <w:szCs w:val="24"/>
              </w:rPr>
            </w:pPr>
            <w:r>
              <w:rPr>
                <w:rFonts w:hint="eastAsia"/>
                <w:b/>
                <w:sz w:val="24"/>
                <w:szCs w:val="24"/>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418" w:type="dxa"/>
            <w:noWrap w:val="0"/>
            <w:vAlign w:val="center"/>
          </w:tcPr>
          <w:p>
            <w:pPr>
              <w:jc w:val="center"/>
              <w:rPr>
                <w:rFonts w:ascii="楷体" w:hAnsi="楷体" w:eastAsia="楷体"/>
                <w:sz w:val="24"/>
                <w:szCs w:val="24"/>
              </w:rPr>
            </w:pPr>
            <w:bookmarkStart w:id="0" w:name="_GoBack"/>
            <w:r>
              <w:rPr>
                <w:rFonts w:hint="eastAsia" w:ascii="楷体" w:hAnsi="楷体" w:eastAsia="楷体"/>
                <w:sz w:val="24"/>
                <w:szCs w:val="24"/>
              </w:rPr>
              <w:t>科技伦理前沿问题</w:t>
            </w:r>
            <w:bookmarkEnd w:id="0"/>
          </w:p>
        </w:tc>
        <w:tc>
          <w:tcPr>
            <w:tcW w:w="850" w:type="dxa"/>
            <w:noWrap w:val="0"/>
            <w:vAlign w:val="center"/>
          </w:tcPr>
          <w:p>
            <w:pPr>
              <w:jc w:val="center"/>
              <w:rPr>
                <w:rFonts w:hint="eastAsia" w:ascii="楷体" w:hAnsi="楷体" w:eastAsia="楷体"/>
                <w:sz w:val="24"/>
                <w:szCs w:val="24"/>
              </w:rPr>
            </w:pPr>
            <w:r>
              <w:rPr>
                <w:rFonts w:hint="eastAsia" w:ascii="楷体" w:hAnsi="楷体" w:eastAsia="楷体"/>
                <w:sz w:val="24"/>
                <w:szCs w:val="24"/>
              </w:rPr>
              <w:t>1</w:t>
            </w:r>
          </w:p>
        </w:tc>
        <w:tc>
          <w:tcPr>
            <w:tcW w:w="851" w:type="dxa"/>
            <w:noWrap w:val="0"/>
            <w:vAlign w:val="center"/>
          </w:tcPr>
          <w:p>
            <w:pPr>
              <w:jc w:val="center"/>
              <w:rPr>
                <w:rFonts w:ascii="楷体" w:hAnsi="楷体" w:eastAsia="楷体"/>
                <w:sz w:val="24"/>
                <w:szCs w:val="24"/>
              </w:rPr>
            </w:pPr>
            <w:r>
              <w:rPr>
                <w:rFonts w:hint="eastAsia" w:ascii="楷体" w:hAnsi="楷体" w:eastAsia="楷体"/>
                <w:sz w:val="24"/>
                <w:szCs w:val="24"/>
              </w:rPr>
              <w:t>16</w:t>
            </w:r>
          </w:p>
        </w:tc>
        <w:tc>
          <w:tcPr>
            <w:tcW w:w="1417" w:type="dxa"/>
            <w:noWrap w:val="0"/>
            <w:vAlign w:val="center"/>
          </w:tcPr>
          <w:p>
            <w:pPr>
              <w:jc w:val="center"/>
              <w:rPr>
                <w:rFonts w:hint="eastAsia" w:ascii="楷体" w:hAnsi="楷体" w:eastAsia="楷体"/>
                <w:sz w:val="24"/>
                <w:szCs w:val="24"/>
              </w:rPr>
            </w:pPr>
            <w:r>
              <w:rPr>
                <w:rFonts w:hint="eastAsia" w:ascii="楷体" w:hAnsi="楷体" w:eastAsia="楷体"/>
                <w:sz w:val="24"/>
                <w:szCs w:val="24"/>
              </w:rPr>
              <w:t>历史传统与哲学思辨</w:t>
            </w:r>
          </w:p>
        </w:tc>
        <w:tc>
          <w:tcPr>
            <w:tcW w:w="2127" w:type="dxa"/>
            <w:noWrap w:val="0"/>
            <w:vAlign w:val="center"/>
          </w:tcPr>
          <w:p>
            <w:pPr>
              <w:jc w:val="center"/>
              <w:rPr>
                <w:rFonts w:hint="eastAsia" w:ascii="楷体" w:hAnsi="楷体" w:eastAsia="楷体"/>
                <w:sz w:val="24"/>
                <w:szCs w:val="24"/>
              </w:rPr>
            </w:pPr>
            <w:r>
              <w:rPr>
                <w:rFonts w:hint="eastAsia" w:ascii="楷体" w:hAnsi="楷体" w:eastAsia="楷体"/>
                <w:sz w:val="24"/>
                <w:szCs w:val="24"/>
              </w:rPr>
              <w:t>第1-7学期</w:t>
            </w:r>
          </w:p>
        </w:tc>
        <w:tc>
          <w:tcPr>
            <w:tcW w:w="2126" w:type="dxa"/>
            <w:noWrap w:val="0"/>
            <w:vAlign w:val="center"/>
          </w:tcPr>
          <w:p>
            <w:pPr>
              <w:jc w:val="center"/>
              <w:rPr>
                <w:rFonts w:hint="eastAsia" w:ascii="楷体" w:hAnsi="楷体" w:eastAsia="楷体"/>
                <w:sz w:val="24"/>
                <w:szCs w:val="24"/>
              </w:rPr>
            </w:pPr>
            <w:r>
              <w:rPr>
                <w:rFonts w:hint="eastAsia" w:ascii="楷体" w:hAnsi="楷体" w:eastAsia="楷体"/>
                <w:sz w:val="24"/>
                <w:szCs w:val="24"/>
              </w:rPr>
              <w:t>周奕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b/>
                <w:sz w:val="24"/>
                <w:szCs w:val="24"/>
              </w:rPr>
            </w:pPr>
            <w:r>
              <w:rPr>
                <w:rFonts w:hint="eastAsia"/>
                <w:b/>
                <w:sz w:val="24"/>
                <w:szCs w:val="24"/>
              </w:rPr>
              <w:t>课程</w:t>
            </w:r>
          </w:p>
          <w:p>
            <w:pPr>
              <w:jc w:val="center"/>
              <w:rPr>
                <w:rFonts w:hint="eastAsia" w:ascii="楷体" w:hAnsi="楷体" w:eastAsia="楷体"/>
                <w:b/>
                <w:sz w:val="24"/>
                <w:szCs w:val="24"/>
              </w:rPr>
            </w:pPr>
            <w:r>
              <w:rPr>
                <w:rFonts w:hint="eastAsia"/>
                <w:b/>
                <w:sz w:val="24"/>
                <w:szCs w:val="24"/>
              </w:rPr>
              <w:t>主要内容</w:t>
            </w:r>
          </w:p>
        </w:tc>
        <w:tc>
          <w:tcPr>
            <w:tcW w:w="7371" w:type="dxa"/>
            <w:gridSpan w:val="5"/>
            <w:noWrap w:val="0"/>
            <w:vAlign w:val="center"/>
          </w:tcPr>
          <w:p>
            <w:pPr>
              <w:spacing w:line="320" w:lineRule="exact"/>
              <w:ind w:firstLine="360" w:firstLineChars="150"/>
              <w:jc w:val="left"/>
              <w:rPr>
                <w:rFonts w:hint="eastAsia" w:ascii="楷体" w:hAnsi="楷体" w:eastAsia="楷体"/>
                <w:sz w:val="24"/>
                <w:szCs w:val="24"/>
              </w:rPr>
            </w:pPr>
            <w:r>
              <w:rPr>
                <w:rFonts w:ascii="楷体" w:hAnsi="楷体" w:eastAsia="楷体"/>
                <w:sz w:val="24"/>
                <w:szCs w:val="24"/>
              </w:rPr>
              <w:t>本课程将结合高新技术</w:t>
            </w:r>
            <w:r>
              <w:rPr>
                <w:rFonts w:hint="eastAsia" w:ascii="楷体" w:hAnsi="楷体" w:eastAsia="楷体"/>
                <w:sz w:val="24"/>
                <w:szCs w:val="24"/>
              </w:rPr>
              <w:t>发展中</w:t>
            </w:r>
            <w:r>
              <w:rPr>
                <w:rFonts w:ascii="楷体" w:hAnsi="楷体" w:eastAsia="楷体"/>
                <w:sz w:val="24"/>
                <w:szCs w:val="24"/>
              </w:rPr>
              <w:t>的经典案例如人工智能</w:t>
            </w:r>
            <w:r>
              <w:rPr>
                <w:rFonts w:hint="eastAsia" w:ascii="楷体" w:hAnsi="楷体" w:eastAsia="楷体"/>
                <w:sz w:val="24"/>
                <w:szCs w:val="24"/>
              </w:rPr>
              <w:t>、</w:t>
            </w:r>
            <w:r>
              <w:rPr>
                <w:rFonts w:ascii="楷体" w:hAnsi="楷体" w:eastAsia="楷体"/>
                <w:sz w:val="24"/>
                <w:szCs w:val="24"/>
              </w:rPr>
              <w:t>核污染</w:t>
            </w:r>
            <w:r>
              <w:rPr>
                <w:rFonts w:hint="eastAsia" w:ascii="楷体" w:hAnsi="楷体" w:eastAsia="楷体"/>
                <w:sz w:val="24"/>
                <w:szCs w:val="24"/>
              </w:rPr>
              <w:t>、基因编辑等，与学生共同探讨</w:t>
            </w:r>
            <w:r>
              <w:rPr>
                <w:rFonts w:ascii="楷体" w:hAnsi="楷体" w:eastAsia="楷体"/>
                <w:sz w:val="24"/>
                <w:szCs w:val="24"/>
              </w:rPr>
              <w:t>如何在获得科技福祉的同时最大限度地规避风险，在危机发生时降低其烈度、减少灾难性后果</w:t>
            </w:r>
            <w:r>
              <w:rPr>
                <w:rFonts w:hint="eastAsia" w:ascii="楷体" w:hAnsi="楷体" w:eastAsia="楷体"/>
                <w:sz w:val="24"/>
                <w:szCs w:val="24"/>
              </w:rPr>
              <w:t>。</w:t>
            </w:r>
            <w:r>
              <w:rPr>
                <w:rFonts w:ascii="楷体" w:hAnsi="楷体" w:eastAsia="楷体"/>
                <w:sz w:val="24"/>
                <w:szCs w:val="24"/>
              </w:rPr>
              <w:t>围绕伦理学基本原理</w:t>
            </w:r>
            <w:r>
              <w:rPr>
                <w:rFonts w:hint="eastAsia" w:ascii="楷体" w:hAnsi="楷体" w:eastAsia="楷体"/>
                <w:sz w:val="24"/>
                <w:szCs w:val="24"/>
              </w:rPr>
              <w:t>、</w:t>
            </w:r>
            <w:r>
              <w:rPr>
                <w:rFonts w:ascii="楷体" w:hAnsi="楷体" w:eastAsia="楷体"/>
                <w:sz w:val="24"/>
                <w:szCs w:val="24"/>
              </w:rPr>
              <w:t>具体案例和理论分析的链条</w:t>
            </w:r>
            <w:r>
              <w:rPr>
                <w:rFonts w:hint="eastAsia" w:ascii="楷体" w:hAnsi="楷体" w:eastAsia="楷体"/>
                <w:sz w:val="24"/>
                <w:szCs w:val="24"/>
              </w:rPr>
              <w:t>，</w:t>
            </w:r>
            <w:r>
              <w:rPr>
                <w:rFonts w:ascii="楷体" w:hAnsi="楷体" w:eastAsia="楷体"/>
                <w:sz w:val="24"/>
                <w:szCs w:val="24"/>
              </w:rPr>
              <w:t>让</w:t>
            </w:r>
            <w:r>
              <w:rPr>
                <w:rFonts w:hint="eastAsia" w:ascii="楷体" w:hAnsi="楷体" w:eastAsia="楷体"/>
                <w:sz w:val="24"/>
                <w:szCs w:val="24"/>
              </w:rPr>
              <w:t>学生了解科技伦理基本原理及伦理责任规范。理性客观</w:t>
            </w:r>
            <w:r>
              <w:rPr>
                <w:rFonts w:ascii="楷体" w:hAnsi="楷体" w:eastAsia="楷体"/>
                <w:sz w:val="24"/>
                <w:szCs w:val="24"/>
              </w:rPr>
              <w:t>面对科学技术发展</w:t>
            </w:r>
            <w:r>
              <w:rPr>
                <w:rFonts w:hint="eastAsia" w:ascii="楷体" w:hAnsi="楷体" w:eastAsia="楷体"/>
                <w:sz w:val="24"/>
                <w:szCs w:val="24"/>
              </w:rPr>
              <w:t>，</w:t>
            </w:r>
            <w:r>
              <w:rPr>
                <w:rFonts w:ascii="楷体" w:hAnsi="楷体" w:eastAsia="楷体"/>
                <w:sz w:val="24"/>
                <w:szCs w:val="24"/>
              </w:rPr>
              <w:t>以及清醒认识现实社会种种道德失范现象</w:t>
            </w:r>
            <w:r>
              <w:rPr>
                <w:rFonts w:hint="eastAsia" w:ascii="楷体" w:hAnsi="楷体" w:eastAsia="楷体"/>
                <w:sz w:val="24"/>
                <w:szCs w:val="24"/>
              </w:rPr>
              <w:t>。主要内容有：</w:t>
            </w:r>
          </w:p>
          <w:p>
            <w:pPr>
              <w:adjustRightInd w:val="0"/>
              <w:spacing w:line="320" w:lineRule="exact"/>
              <w:ind w:firstLine="200"/>
              <w:rPr>
                <w:rFonts w:hint="eastAsia" w:ascii="楷体" w:hAnsi="楷体" w:eastAsia="楷体"/>
                <w:sz w:val="24"/>
                <w:szCs w:val="24"/>
                <w:lang w:eastAsia="zh-CN"/>
              </w:rPr>
            </w:pPr>
            <w:r>
              <w:rPr>
                <w:rFonts w:hint="eastAsia" w:ascii="楷体" w:hAnsi="楷体" w:eastAsia="楷体"/>
                <w:sz w:val="24"/>
                <w:szCs w:val="24"/>
              </w:rPr>
              <w:t>绪论：从科学技术到科技伦理：钱学森之问与李约瑟难题</w:t>
            </w:r>
            <w:r>
              <w:rPr>
                <w:rFonts w:hint="eastAsia" w:ascii="楷体" w:hAnsi="楷体" w:eastAsia="楷体"/>
                <w:sz w:val="24"/>
                <w:szCs w:val="24"/>
                <w:lang w:eastAsia="zh-CN"/>
              </w:rPr>
              <w:t>（</w:t>
            </w:r>
            <w:r>
              <w:rPr>
                <w:rFonts w:hint="eastAsia" w:ascii="楷体" w:hAnsi="楷体" w:eastAsia="楷体"/>
                <w:sz w:val="24"/>
                <w:szCs w:val="24"/>
                <w:lang w:val="en-US" w:eastAsia="zh-CN"/>
              </w:rPr>
              <w:t>2课时</w:t>
            </w:r>
            <w:r>
              <w:rPr>
                <w:rFonts w:hint="eastAsia" w:ascii="楷体" w:hAnsi="楷体" w:eastAsia="楷体"/>
                <w:sz w:val="24"/>
                <w:szCs w:val="24"/>
                <w:lang w:eastAsia="zh-CN"/>
              </w:rPr>
              <w:t>）</w:t>
            </w:r>
          </w:p>
          <w:p>
            <w:pPr>
              <w:adjustRightInd w:val="0"/>
              <w:spacing w:line="320" w:lineRule="exact"/>
              <w:ind w:firstLine="200"/>
              <w:rPr>
                <w:rFonts w:hint="eastAsia" w:ascii="楷体" w:hAnsi="楷体" w:eastAsia="楷体"/>
                <w:sz w:val="24"/>
                <w:szCs w:val="24"/>
                <w:lang w:eastAsia="zh-CN"/>
              </w:rPr>
            </w:pPr>
            <w:r>
              <w:rPr>
                <w:rFonts w:ascii="楷体" w:hAnsi="楷体" w:eastAsia="楷体"/>
                <w:sz w:val="24"/>
                <w:szCs w:val="24"/>
              </w:rPr>
              <w:t>一、人工智能伦理</w:t>
            </w:r>
            <w:r>
              <w:rPr>
                <w:rFonts w:hint="eastAsia" w:ascii="楷体" w:hAnsi="楷体" w:eastAsia="楷体"/>
                <w:sz w:val="24"/>
                <w:szCs w:val="24"/>
              </w:rPr>
              <w:t>：功利主义VS道义论</w:t>
            </w:r>
            <w:r>
              <w:rPr>
                <w:rFonts w:hint="eastAsia" w:ascii="楷体" w:hAnsi="楷体" w:eastAsia="楷体"/>
                <w:sz w:val="24"/>
                <w:szCs w:val="24"/>
                <w:lang w:eastAsia="zh-CN"/>
              </w:rPr>
              <w:t>（</w:t>
            </w:r>
            <w:r>
              <w:rPr>
                <w:rFonts w:hint="eastAsia" w:ascii="楷体" w:hAnsi="楷体" w:eastAsia="楷体"/>
                <w:sz w:val="24"/>
                <w:szCs w:val="24"/>
                <w:lang w:val="en-US" w:eastAsia="zh-CN"/>
              </w:rPr>
              <w:t>4课时</w:t>
            </w:r>
            <w:r>
              <w:rPr>
                <w:rFonts w:hint="eastAsia" w:ascii="楷体" w:hAnsi="楷体" w:eastAsia="楷体"/>
                <w:sz w:val="24"/>
                <w:szCs w:val="24"/>
                <w:lang w:eastAsia="zh-CN"/>
              </w:rPr>
              <w:t>）</w:t>
            </w:r>
          </w:p>
          <w:p>
            <w:pPr>
              <w:adjustRightInd w:val="0"/>
              <w:spacing w:line="320" w:lineRule="exact"/>
              <w:ind w:firstLine="200"/>
              <w:rPr>
                <w:rFonts w:ascii="楷体" w:hAnsi="楷体" w:eastAsia="楷体"/>
                <w:sz w:val="24"/>
                <w:szCs w:val="24"/>
              </w:rPr>
            </w:pPr>
            <w:r>
              <w:rPr>
                <w:rFonts w:ascii="楷体" w:hAnsi="楷体" w:eastAsia="楷体"/>
                <w:sz w:val="24"/>
                <w:szCs w:val="24"/>
              </w:rPr>
              <w:t>案例</w:t>
            </w:r>
            <w:r>
              <w:rPr>
                <w:rFonts w:hint="eastAsia" w:ascii="楷体" w:hAnsi="楷体" w:eastAsia="楷体"/>
                <w:sz w:val="24"/>
                <w:szCs w:val="24"/>
              </w:rPr>
              <w:t>：</w:t>
            </w:r>
            <w:r>
              <w:rPr>
                <w:rFonts w:ascii="楷体" w:hAnsi="楷体" w:eastAsia="楷体"/>
                <w:sz w:val="24"/>
                <w:szCs w:val="24"/>
              </w:rPr>
              <w:t>电车难题与自动驾驶汽车的伦理困境</w:t>
            </w:r>
          </w:p>
          <w:p>
            <w:pPr>
              <w:pStyle w:val="4"/>
              <w:numPr>
                <w:ilvl w:val="0"/>
                <w:numId w:val="1"/>
              </w:numPr>
              <w:adjustRightInd w:val="0"/>
              <w:spacing w:line="320" w:lineRule="exact"/>
              <w:ind w:left="0" w:firstLine="200" w:firstLineChars="0"/>
              <w:rPr>
                <w:rFonts w:ascii="楷体" w:hAnsi="楷体" w:eastAsia="楷体"/>
                <w:sz w:val="24"/>
                <w:szCs w:val="24"/>
              </w:rPr>
            </w:pPr>
            <w:r>
              <w:rPr>
                <w:rFonts w:hint="eastAsia" w:ascii="楷体" w:hAnsi="楷体" w:eastAsia="楷体"/>
                <w:sz w:val="24"/>
                <w:szCs w:val="24"/>
              </w:rPr>
              <w:t>医学研究伦理：研究是否需要伦理规约？</w:t>
            </w:r>
            <w:r>
              <w:rPr>
                <w:rFonts w:hint="eastAsia" w:ascii="楷体" w:hAnsi="楷体" w:eastAsia="楷体"/>
                <w:sz w:val="24"/>
                <w:szCs w:val="24"/>
                <w:lang w:eastAsia="zh-CN"/>
              </w:rPr>
              <w:t>（</w:t>
            </w:r>
            <w:r>
              <w:rPr>
                <w:rFonts w:hint="eastAsia" w:ascii="楷体" w:hAnsi="楷体" w:eastAsia="楷体"/>
                <w:sz w:val="24"/>
                <w:szCs w:val="24"/>
                <w:lang w:val="en-US" w:eastAsia="zh-CN"/>
              </w:rPr>
              <w:t>2课时</w:t>
            </w:r>
            <w:r>
              <w:rPr>
                <w:rFonts w:hint="eastAsia" w:ascii="楷体" w:hAnsi="楷体" w:eastAsia="楷体"/>
                <w:sz w:val="24"/>
                <w:szCs w:val="24"/>
                <w:lang w:eastAsia="zh-CN"/>
              </w:rPr>
              <w:t>）</w:t>
            </w:r>
          </w:p>
          <w:p>
            <w:pPr>
              <w:adjustRightInd w:val="0"/>
              <w:spacing w:line="320" w:lineRule="exact"/>
              <w:ind w:firstLine="200"/>
              <w:rPr>
                <w:rFonts w:ascii="楷体" w:hAnsi="楷体" w:eastAsia="楷体"/>
                <w:sz w:val="24"/>
                <w:szCs w:val="24"/>
              </w:rPr>
            </w:pPr>
            <w:r>
              <w:rPr>
                <w:rFonts w:ascii="楷体" w:hAnsi="楷体" w:eastAsia="楷体"/>
                <w:sz w:val="24"/>
                <w:szCs w:val="24"/>
              </w:rPr>
              <w:t>案例</w:t>
            </w:r>
            <w:r>
              <w:rPr>
                <w:rFonts w:hint="eastAsia" w:ascii="楷体" w:hAnsi="楷体" w:eastAsia="楷体"/>
                <w:sz w:val="24"/>
                <w:szCs w:val="24"/>
              </w:rPr>
              <w:t>：</w:t>
            </w:r>
            <w:r>
              <w:rPr>
                <w:rFonts w:ascii="楷体" w:hAnsi="楷体" w:eastAsia="楷体"/>
                <w:sz w:val="24"/>
                <w:szCs w:val="24"/>
              </w:rPr>
              <w:t>世界首例头颅移植手术</w:t>
            </w:r>
          </w:p>
          <w:p>
            <w:pPr>
              <w:adjustRightInd w:val="0"/>
              <w:spacing w:line="320" w:lineRule="exact"/>
              <w:ind w:firstLine="200"/>
              <w:rPr>
                <w:rFonts w:hint="eastAsia" w:ascii="楷体" w:hAnsi="楷体" w:eastAsia="楷体"/>
                <w:sz w:val="24"/>
                <w:szCs w:val="24"/>
                <w:lang w:eastAsia="zh-CN"/>
              </w:rPr>
            </w:pPr>
            <w:r>
              <w:rPr>
                <w:rFonts w:ascii="楷体" w:hAnsi="楷体" w:eastAsia="楷体"/>
                <w:sz w:val="24"/>
                <w:szCs w:val="24"/>
              </w:rPr>
              <w:t>三</w:t>
            </w:r>
            <w:r>
              <w:rPr>
                <w:rFonts w:hint="eastAsia" w:ascii="楷体" w:hAnsi="楷体" w:eastAsia="楷体"/>
                <w:sz w:val="24"/>
                <w:szCs w:val="24"/>
              </w:rPr>
              <w:t>、</w:t>
            </w:r>
            <w:r>
              <w:rPr>
                <w:rFonts w:ascii="楷体" w:hAnsi="楷体" w:eastAsia="楷体"/>
                <w:sz w:val="24"/>
                <w:szCs w:val="24"/>
              </w:rPr>
              <w:t>生命伦理</w:t>
            </w:r>
            <w:r>
              <w:rPr>
                <w:rFonts w:hint="eastAsia" w:ascii="楷体" w:hAnsi="楷体" w:eastAsia="楷体"/>
                <w:sz w:val="24"/>
                <w:szCs w:val="24"/>
              </w:rPr>
              <w:t>：born or making?</w:t>
            </w:r>
            <w:r>
              <w:rPr>
                <w:rFonts w:hint="eastAsia" w:ascii="楷体" w:hAnsi="楷体" w:eastAsia="楷体"/>
                <w:sz w:val="24"/>
                <w:szCs w:val="24"/>
                <w:lang w:eastAsia="zh-CN"/>
              </w:rPr>
              <w:t>（</w:t>
            </w:r>
            <w:r>
              <w:rPr>
                <w:rFonts w:hint="eastAsia" w:ascii="楷体" w:hAnsi="楷体" w:eastAsia="楷体"/>
                <w:sz w:val="24"/>
                <w:szCs w:val="24"/>
                <w:lang w:val="en-US" w:eastAsia="zh-CN"/>
              </w:rPr>
              <w:t>4课时</w:t>
            </w:r>
            <w:r>
              <w:rPr>
                <w:rFonts w:hint="eastAsia" w:ascii="楷体" w:hAnsi="楷体" w:eastAsia="楷体"/>
                <w:sz w:val="24"/>
                <w:szCs w:val="24"/>
                <w:lang w:eastAsia="zh-CN"/>
              </w:rPr>
              <w:t>）</w:t>
            </w:r>
          </w:p>
          <w:p>
            <w:pPr>
              <w:adjustRightInd w:val="0"/>
              <w:spacing w:line="320" w:lineRule="exact"/>
              <w:ind w:firstLine="200"/>
              <w:rPr>
                <w:rFonts w:ascii="楷体" w:hAnsi="楷体" w:eastAsia="楷体"/>
                <w:sz w:val="24"/>
                <w:szCs w:val="24"/>
              </w:rPr>
            </w:pPr>
            <w:r>
              <w:rPr>
                <w:rFonts w:ascii="楷体" w:hAnsi="楷体" w:eastAsia="楷体"/>
                <w:sz w:val="24"/>
                <w:szCs w:val="24"/>
              </w:rPr>
              <w:t>案例</w:t>
            </w:r>
            <w:r>
              <w:rPr>
                <w:rFonts w:hint="eastAsia" w:ascii="楷体" w:hAnsi="楷体" w:eastAsia="楷体"/>
                <w:sz w:val="24"/>
                <w:szCs w:val="24"/>
              </w:rPr>
              <w:t>：</w:t>
            </w:r>
            <w:r>
              <w:rPr>
                <w:rFonts w:ascii="楷体" w:hAnsi="楷体" w:eastAsia="楷体"/>
                <w:sz w:val="24"/>
                <w:szCs w:val="24"/>
              </w:rPr>
              <w:t>基因编辑婴儿事件</w:t>
            </w:r>
          </w:p>
          <w:p>
            <w:pPr>
              <w:pStyle w:val="4"/>
              <w:numPr>
                <w:ilvl w:val="0"/>
                <w:numId w:val="2"/>
              </w:numPr>
              <w:adjustRightInd w:val="0"/>
              <w:spacing w:line="320" w:lineRule="exact"/>
              <w:ind w:left="0" w:firstLine="200" w:firstLineChars="0"/>
              <w:rPr>
                <w:rFonts w:ascii="楷体" w:hAnsi="楷体" w:eastAsia="楷体"/>
                <w:sz w:val="24"/>
                <w:szCs w:val="24"/>
              </w:rPr>
            </w:pPr>
            <w:r>
              <w:rPr>
                <w:rFonts w:hint="eastAsia" w:ascii="楷体" w:hAnsi="楷体" w:eastAsia="楷体"/>
                <w:sz w:val="24"/>
                <w:szCs w:val="24"/>
              </w:rPr>
              <w:t>网络伦理：数据权利与隐私保护</w:t>
            </w:r>
            <w:r>
              <w:rPr>
                <w:rFonts w:hint="eastAsia" w:ascii="楷体" w:hAnsi="楷体" w:eastAsia="楷体"/>
                <w:sz w:val="24"/>
                <w:szCs w:val="24"/>
                <w:lang w:eastAsia="zh-CN"/>
              </w:rPr>
              <w:t>（</w:t>
            </w:r>
            <w:r>
              <w:rPr>
                <w:rFonts w:hint="eastAsia" w:ascii="楷体" w:hAnsi="楷体" w:eastAsia="楷体"/>
                <w:sz w:val="24"/>
                <w:szCs w:val="24"/>
                <w:lang w:val="en-US" w:eastAsia="zh-CN"/>
              </w:rPr>
              <w:t>4课时</w:t>
            </w:r>
            <w:r>
              <w:rPr>
                <w:rFonts w:hint="eastAsia" w:ascii="楷体" w:hAnsi="楷体" w:eastAsia="楷体"/>
                <w:sz w:val="24"/>
                <w:szCs w:val="24"/>
                <w:lang w:eastAsia="zh-CN"/>
              </w:rPr>
              <w:t>）</w:t>
            </w:r>
          </w:p>
          <w:p>
            <w:pPr>
              <w:adjustRightInd w:val="0"/>
              <w:spacing w:line="320" w:lineRule="exact"/>
              <w:ind w:firstLine="200"/>
              <w:rPr>
                <w:rFonts w:ascii="楷体" w:hAnsi="楷体" w:eastAsia="楷体"/>
                <w:sz w:val="24"/>
                <w:szCs w:val="24"/>
              </w:rPr>
            </w:pPr>
            <w:r>
              <w:rPr>
                <w:rFonts w:hint="eastAsia" w:ascii="楷体" w:hAnsi="楷体" w:eastAsia="楷体"/>
                <w:sz w:val="24"/>
                <w:szCs w:val="24"/>
              </w:rPr>
              <w:t>案例：滴滴杀熟与Facebook数据门</w:t>
            </w:r>
          </w:p>
          <w:p>
            <w:pPr>
              <w:spacing w:line="320" w:lineRule="exact"/>
              <w:jc w:val="left"/>
              <w:rPr>
                <w:rFonts w:hint="eastAsia" w:ascii="楷体" w:hAnsi="楷体" w:eastAsia="楷体"/>
                <w:sz w:val="24"/>
                <w:szCs w:val="24"/>
              </w:rPr>
            </w:pPr>
            <w:r>
              <w:rPr>
                <w:rFonts w:ascii="楷体" w:hAnsi="楷体" w:eastAsia="楷体"/>
                <w:sz w:val="24"/>
                <w:szCs w:val="24"/>
              </w:rPr>
              <w:t>备注</w:t>
            </w:r>
            <w:r>
              <w:rPr>
                <w:rFonts w:hint="eastAsia" w:ascii="楷体" w:hAnsi="楷体" w:eastAsia="楷体"/>
                <w:sz w:val="24"/>
                <w:szCs w:val="24"/>
              </w:rPr>
              <w:t>：</w:t>
            </w:r>
            <w:r>
              <w:rPr>
                <w:rFonts w:ascii="楷体" w:hAnsi="楷体" w:eastAsia="楷体"/>
                <w:sz w:val="24"/>
                <w:szCs w:val="24"/>
              </w:rPr>
              <w:t>各板块案例根据最前沿问题将有所更新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ascii="楷体" w:hAnsi="楷体" w:eastAsia="楷体"/>
                <w:b/>
                <w:sz w:val="24"/>
                <w:szCs w:val="24"/>
              </w:rPr>
            </w:pPr>
            <w:r>
              <w:rPr>
                <w:rFonts w:hint="eastAsia"/>
                <w:b/>
                <w:sz w:val="24"/>
                <w:szCs w:val="24"/>
              </w:rPr>
              <w:t>教学目标及教学方法</w:t>
            </w:r>
          </w:p>
        </w:tc>
        <w:tc>
          <w:tcPr>
            <w:tcW w:w="7371" w:type="dxa"/>
            <w:gridSpan w:val="5"/>
            <w:noWrap w:val="0"/>
            <w:vAlign w:val="center"/>
          </w:tcPr>
          <w:p>
            <w:pPr>
              <w:spacing w:line="320" w:lineRule="exact"/>
              <w:ind w:firstLine="480" w:firstLineChars="200"/>
              <w:jc w:val="left"/>
              <w:rPr>
                <w:rFonts w:hint="eastAsia" w:ascii="楷体" w:hAnsi="楷体" w:eastAsia="楷体"/>
                <w:sz w:val="24"/>
                <w:szCs w:val="24"/>
              </w:rPr>
            </w:pPr>
            <w:r>
              <w:rPr>
                <w:rFonts w:hint="eastAsia" w:ascii="楷体" w:hAnsi="楷体" w:eastAsia="楷体"/>
                <w:sz w:val="24"/>
                <w:szCs w:val="24"/>
              </w:rPr>
              <w:t>本课程在简单讲授科技伦理基本理论基础上，通过高科技发展中的经典案例，帮助学生了解伦理学基本知识以及科技伦理基本范式和当下面临的科技伦理困境；同时开拓学生视野，在享受高科技带来的生活质量改善的同时，理性客观对高科技引发的种种问题进行分析并能有所预判；第三，</w:t>
            </w:r>
            <w:r>
              <w:rPr>
                <w:rFonts w:ascii="楷体" w:hAnsi="楷体" w:eastAsia="楷体"/>
                <w:sz w:val="24"/>
                <w:szCs w:val="24"/>
              </w:rPr>
              <w:t>面对科学技术发展带来的现实社会种种道德失范现象能有</w:t>
            </w:r>
            <w:r>
              <w:rPr>
                <w:rFonts w:hint="eastAsia" w:ascii="楷体" w:hAnsi="楷体" w:eastAsia="楷体"/>
                <w:sz w:val="24"/>
                <w:szCs w:val="24"/>
              </w:rPr>
              <w:t>清醒</w:t>
            </w:r>
            <w:r>
              <w:rPr>
                <w:rFonts w:ascii="楷体" w:hAnsi="楷体" w:eastAsia="楷体"/>
                <w:sz w:val="24"/>
                <w:szCs w:val="24"/>
              </w:rPr>
              <w:t>认识</w:t>
            </w:r>
            <w:r>
              <w:rPr>
                <w:rFonts w:hint="eastAsia" w:ascii="楷体" w:hAnsi="楷体" w:eastAsia="楷体"/>
                <w:sz w:val="24"/>
                <w:szCs w:val="24"/>
              </w:rPr>
              <w:t>，树立正确价值观。教学方法主要为课堂讲授、案例教学、科技伦理电影鉴赏等等教学形式。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ascii="楷体" w:hAnsi="楷体" w:eastAsia="楷体"/>
                <w:b/>
                <w:sz w:val="24"/>
                <w:szCs w:val="24"/>
              </w:rPr>
            </w:pPr>
            <w:r>
              <w:rPr>
                <w:rFonts w:hint="eastAsia"/>
                <w:b/>
                <w:sz w:val="24"/>
                <w:szCs w:val="24"/>
              </w:rPr>
              <w:t>考核要求</w:t>
            </w:r>
          </w:p>
        </w:tc>
        <w:tc>
          <w:tcPr>
            <w:tcW w:w="7371" w:type="dxa"/>
            <w:gridSpan w:val="5"/>
            <w:noWrap w:val="0"/>
            <w:vAlign w:val="center"/>
          </w:tcPr>
          <w:p>
            <w:pPr>
              <w:jc w:val="left"/>
              <w:rPr>
                <w:rFonts w:ascii="楷体" w:hAnsi="楷体" w:eastAsia="楷体"/>
                <w:sz w:val="24"/>
                <w:szCs w:val="24"/>
              </w:rPr>
            </w:pPr>
            <w:r>
              <w:rPr>
                <w:rFonts w:hint="eastAsia" w:ascii="楷体" w:hAnsi="楷体" w:eastAsia="楷体"/>
                <w:sz w:val="24"/>
                <w:szCs w:val="24"/>
              </w:rPr>
              <w:t>（1）本课程为考查科目</w:t>
            </w:r>
          </w:p>
          <w:p>
            <w:pPr>
              <w:jc w:val="left"/>
              <w:rPr>
                <w:rFonts w:hint="eastAsia" w:ascii="楷体" w:hAnsi="楷体" w:eastAsia="楷体"/>
                <w:sz w:val="24"/>
                <w:szCs w:val="24"/>
              </w:rPr>
            </w:pPr>
            <w:r>
              <w:rPr>
                <w:rFonts w:hint="eastAsia" w:ascii="楷体" w:hAnsi="楷体" w:eastAsia="楷体"/>
                <w:sz w:val="24"/>
                <w:szCs w:val="24"/>
              </w:rPr>
              <w:t>（2）平时成绩占总评成绩的50%，主要依据为考勤及课堂表现；论文或研究报告占50%。</w:t>
            </w:r>
          </w:p>
        </w:tc>
      </w:tr>
    </w:tbl>
    <w:p>
      <w:pPr>
        <w:ind w:firstLine="360" w:firstLineChars="150"/>
        <w:jc w:val="left"/>
        <w:rPr>
          <w:rFonts w:hint="eastAsia" w:ascii="楷体" w:hAnsi="楷体" w:eastAsia="楷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168FB"/>
    <w:multiLevelType w:val="multilevel"/>
    <w:tmpl w:val="3A1168FB"/>
    <w:lvl w:ilvl="0" w:tentative="0">
      <w:start w:val="4"/>
      <w:numFmt w:val="japaneseCounting"/>
      <w:lvlText w:val="%1、"/>
      <w:lvlJc w:val="left"/>
      <w:pPr>
        <w:ind w:left="420" w:hanging="4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C1A7F8B"/>
    <w:multiLevelType w:val="multilevel"/>
    <w:tmpl w:val="6C1A7F8B"/>
    <w:lvl w:ilvl="0" w:tentative="0">
      <w:start w:val="2"/>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D27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2019-11-29T05:04:01Z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