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sz w:val="40"/>
          <w:szCs w:val="36"/>
        </w:rPr>
      </w:pPr>
      <w:r>
        <w:rPr>
          <w:rFonts w:hint="eastAsia" w:ascii="黑体" w:hAnsi="黑体" w:eastAsia="黑体"/>
          <w:sz w:val="36"/>
          <w:szCs w:val="36"/>
        </w:rPr>
        <w:t>通识课程简介</w:t>
      </w:r>
    </w:p>
    <w:tbl>
      <w:tblPr>
        <w:tblStyle w:val="2"/>
        <w:tblW w:w="0" w:type="auto"/>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850"/>
        <w:gridCol w:w="851"/>
        <w:gridCol w:w="1417"/>
        <w:gridCol w:w="2127"/>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trPr>
        <w:tc>
          <w:tcPr>
            <w:tcW w:w="1418" w:type="dxa"/>
            <w:noWrap w:val="0"/>
            <w:vAlign w:val="center"/>
          </w:tcPr>
          <w:p>
            <w:pPr>
              <w:jc w:val="center"/>
              <w:rPr>
                <w:rFonts w:hint="eastAsia"/>
                <w:b/>
                <w:sz w:val="24"/>
                <w:szCs w:val="24"/>
              </w:rPr>
            </w:pPr>
            <w:r>
              <w:rPr>
                <w:rFonts w:hint="eastAsia"/>
                <w:b/>
                <w:sz w:val="24"/>
                <w:szCs w:val="24"/>
              </w:rPr>
              <w:t>课程名称</w:t>
            </w:r>
          </w:p>
        </w:tc>
        <w:tc>
          <w:tcPr>
            <w:tcW w:w="850" w:type="dxa"/>
            <w:noWrap w:val="0"/>
            <w:vAlign w:val="center"/>
          </w:tcPr>
          <w:p>
            <w:pPr>
              <w:jc w:val="center"/>
              <w:rPr>
                <w:rFonts w:hint="eastAsia"/>
                <w:b/>
                <w:sz w:val="24"/>
                <w:szCs w:val="24"/>
              </w:rPr>
            </w:pPr>
            <w:r>
              <w:rPr>
                <w:rFonts w:hint="eastAsia"/>
                <w:b/>
                <w:sz w:val="24"/>
                <w:szCs w:val="24"/>
              </w:rPr>
              <w:t>学分</w:t>
            </w:r>
          </w:p>
        </w:tc>
        <w:tc>
          <w:tcPr>
            <w:tcW w:w="851" w:type="dxa"/>
            <w:noWrap w:val="0"/>
            <w:vAlign w:val="center"/>
          </w:tcPr>
          <w:p>
            <w:pPr>
              <w:jc w:val="center"/>
              <w:rPr>
                <w:rFonts w:hint="eastAsia"/>
                <w:b/>
                <w:sz w:val="24"/>
                <w:szCs w:val="24"/>
              </w:rPr>
            </w:pPr>
            <w:r>
              <w:rPr>
                <w:rFonts w:hint="eastAsia"/>
                <w:b/>
                <w:sz w:val="24"/>
                <w:szCs w:val="24"/>
              </w:rPr>
              <w:t>学时</w:t>
            </w:r>
          </w:p>
        </w:tc>
        <w:tc>
          <w:tcPr>
            <w:tcW w:w="1417" w:type="dxa"/>
            <w:noWrap w:val="0"/>
            <w:vAlign w:val="center"/>
          </w:tcPr>
          <w:p>
            <w:pPr>
              <w:jc w:val="center"/>
              <w:rPr>
                <w:rFonts w:hint="eastAsia"/>
                <w:b/>
                <w:sz w:val="24"/>
                <w:szCs w:val="24"/>
              </w:rPr>
            </w:pPr>
            <w:r>
              <w:rPr>
                <w:rFonts w:hint="eastAsia"/>
                <w:b/>
                <w:sz w:val="24"/>
                <w:szCs w:val="24"/>
              </w:rPr>
              <w:t>归属模块</w:t>
            </w:r>
          </w:p>
        </w:tc>
        <w:tc>
          <w:tcPr>
            <w:tcW w:w="2127" w:type="dxa"/>
            <w:noWrap w:val="0"/>
            <w:vAlign w:val="center"/>
          </w:tcPr>
          <w:p>
            <w:pPr>
              <w:jc w:val="center"/>
              <w:rPr>
                <w:rFonts w:hint="eastAsia"/>
                <w:b/>
                <w:sz w:val="24"/>
                <w:szCs w:val="24"/>
              </w:rPr>
            </w:pPr>
            <w:r>
              <w:rPr>
                <w:rFonts w:hint="eastAsia"/>
                <w:b/>
                <w:sz w:val="24"/>
                <w:szCs w:val="24"/>
              </w:rPr>
              <w:t>开课学期</w:t>
            </w:r>
          </w:p>
        </w:tc>
        <w:tc>
          <w:tcPr>
            <w:tcW w:w="2126" w:type="dxa"/>
            <w:noWrap w:val="0"/>
            <w:vAlign w:val="center"/>
          </w:tcPr>
          <w:p>
            <w:pPr>
              <w:jc w:val="center"/>
              <w:rPr>
                <w:rFonts w:hint="eastAsia"/>
                <w:b/>
                <w:sz w:val="24"/>
                <w:szCs w:val="24"/>
              </w:rPr>
            </w:pPr>
            <w:r>
              <w:rPr>
                <w:rFonts w:hint="eastAsia"/>
                <w:b/>
                <w:sz w:val="24"/>
                <w:szCs w:val="24"/>
              </w:rPr>
              <w:t>授课教师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418" w:type="dxa"/>
            <w:noWrap w:val="0"/>
            <w:vAlign w:val="center"/>
          </w:tcPr>
          <w:p>
            <w:pPr>
              <w:jc w:val="center"/>
              <w:rPr>
                <w:rFonts w:ascii="楷体" w:hAnsi="楷体" w:eastAsia="楷体"/>
                <w:sz w:val="24"/>
                <w:szCs w:val="24"/>
              </w:rPr>
            </w:pPr>
            <w:bookmarkStart w:id="0" w:name="_GoBack"/>
            <w:r>
              <w:rPr>
                <w:rFonts w:hint="eastAsia" w:ascii="楷体" w:hAnsi="楷体" w:eastAsia="楷体"/>
                <w:sz w:val="24"/>
                <w:szCs w:val="24"/>
              </w:rPr>
              <w:t>民法与生活</w:t>
            </w:r>
            <w:bookmarkEnd w:id="0"/>
          </w:p>
        </w:tc>
        <w:tc>
          <w:tcPr>
            <w:tcW w:w="850" w:type="dxa"/>
            <w:noWrap w:val="0"/>
            <w:vAlign w:val="center"/>
          </w:tcPr>
          <w:p>
            <w:pPr>
              <w:jc w:val="center"/>
              <w:rPr>
                <w:rFonts w:hint="eastAsia" w:ascii="楷体" w:hAnsi="楷体" w:eastAsia="楷体"/>
                <w:sz w:val="24"/>
                <w:szCs w:val="24"/>
              </w:rPr>
            </w:pPr>
            <w:r>
              <w:rPr>
                <w:rFonts w:hint="eastAsia" w:ascii="楷体" w:hAnsi="楷体" w:eastAsia="楷体"/>
                <w:sz w:val="24"/>
                <w:szCs w:val="24"/>
              </w:rPr>
              <w:t>2</w:t>
            </w:r>
          </w:p>
        </w:tc>
        <w:tc>
          <w:tcPr>
            <w:tcW w:w="851" w:type="dxa"/>
            <w:noWrap w:val="0"/>
            <w:vAlign w:val="center"/>
          </w:tcPr>
          <w:p>
            <w:pPr>
              <w:jc w:val="center"/>
              <w:rPr>
                <w:rFonts w:ascii="楷体" w:hAnsi="楷体" w:eastAsia="楷体"/>
                <w:sz w:val="24"/>
                <w:szCs w:val="24"/>
              </w:rPr>
            </w:pPr>
            <w:r>
              <w:rPr>
                <w:rFonts w:hint="eastAsia" w:ascii="楷体" w:hAnsi="楷体" w:eastAsia="楷体"/>
                <w:sz w:val="24"/>
                <w:szCs w:val="24"/>
              </w:rPr>
              <w:t>32</w:t>
            </w:r>
          </w:p>
        </w:tc>
        <w:tc>
          <w:tcPr>
            <w:tcW w:w="1417" w:type="dxa"/>
            <w:noWrap w:val="0"/>
            <w:vAlign w:val="center"/>
          </w:tcPr>
          <w:p>
            <w:pPr>
              <w:jc w:val="center"/>
              <w:rPr>
                <w:rFonts w:hint="eastAsia" w:ascii="楷体" w:hAnsi="楷体" w:eastAsia="楷体"/>
                <w:sz w:val="24"/>
                <w:szCs w:val="24"/>
              </w:rPr>
            </w:pPr>
            <w:r>
              <w:rPr>
                <w:rFonts w:hint="eastAsia" w:ascii="楷体" w:hAnsi="楷体" w:eastAsia="楷体"/>
                <w:sz w:val="24"/>
                <w:szCs w:val="24"/>
              </w:rPr>
              <w:t>社会分析与公民素养</w:t>
            </w:r>
          </w:p>
        </w:tc>
        <w:tc>
          <w:tcPr>
            <w:tcW w:w="2127" w:type="dxa"/>
            <w:noWrap w:val="0"/>
            <w:vAlign w:val="center"/>
          </w:tcPr>
          <w:p>
            <w:pPr>
              <w:jc w:val="center"/>
              <w:rPr>
                <w:rFonts w:hint="eastAsia" w:ascii="楷体" w:hAnsi="楷体" w:eastAsia="楷体"/>
                <w:sz w:val="24"/>
                <w:szCs w:val="24"/>
              </w:rPr>
            </w:pPr>
            <w:r>
              <w:rPr>
                <w:rFonts w:hint="eastAsia" w:ascii="楷体" w:hAnsi="楷体" w:eastAsia="楷体"/>
                <w:sz w:val="24"/>
                <w:szCs w:val="24"/>
              </w:rPr>
              <w:t>第2-7学期</w:t>
            </w:r>
          </w:p>
        </w:tc>
        <w:tc>
          <w:tcPr>
            <w:tcW w:w="2126" w:type="dxa"/>
            <w:noWrap w:val="0"/>
            <w:vAlign w:val="center"/>
          </w:tcPr>
          <w:p>
            <w:pPr>
              <w:jc w:val="center"/>
              <w:rPr>
                <w:rFonts w:hint="eastAsia" w:ascii="楷体" w:hAnsi="楷体" w:eastAsia="楷体"/>
                <w:sz w:val="24"/>
                <w:szCs w:val="24"/>
              </w:rPr>
            </w:pPr>
            <w:r>
              <w:rPr>
                <w:rFonts w:hint="eastAsia" w:ascii="楷体" w:hAnsi="楷体" w:eastAsia="楷体"/>
                <w:sz w:val="24"/>
                <w:szCs w:val="24"/>
              </w:rPr>
              <w:t>陈军芬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b/>
                <w:sz w:val="24"/>
                <w:szCs w:val="24"/>
              </w:rPr>
            </w:pPr>
            <w:r>
              <w:rPr>
                <w:rFonts w:hint="eastAsia"/>
                <w:b/>
                <w:sz w:val="24"/>
                <w:szCs w:val="24"/>
              </w:rPr>
              <w:t>课程</w:t>
            </w:r>
          </w:p>
          <w:p>
            <w:pPr>
              <w:jc w:val="center"/>
              <w:rPr>
                <w:rFonts w:hint="eastAsia" w:ascii="楷体" w:hAnsi="楷体" w:eastAsia="楷体"/>
                <w:b/>
                <w:sz w:val="24"/>
                <w:szCs w:val="24"/>
              </w:rPr>
            </w:pPr>
            <w:r>
              <w:rPr>
                <w:rFonts w:hint="eastAsia"/>
                <w:b/>
                <w:sz w:val="24"/>
                <w:szCs w:val="24"/>
              </w:rPr>
              <w:t>主要内容</w:t>
            </w:r>
          </w:p>
        </w:tc>
        <w:tc>
          <w:tcPr>
            <w:tcW w:w="7371" w:type="dxa"/>
            <w:gridSpan w:val="5"/>
            <w:noWrap w:val="0"/>
            <w:vAlign w:val="center"/>
          </w:tcPr>
          <w:p>
            <w:pPr>
              <w:ind w:firstLine="480" w:firstLineChars="200"/>
              <w:jc w:val="left"/>
              <w:rPr>
                <w:rFonts w:ascii="楷体" w:hAnsi="楷体" w:eastAsia="楷体"/>
                <w:sz w:val="24"/>
                <w:szCs w:val="24"/>
              </w:rPr>
            </w:pPr>
            <w:r>
              <w:rPr>
                <w:rFonts w:hint="eastAsia" w:ascii="楷体" w:hAnsi="楷体" w:eastAsia="楷体"/>
                <w:sz w:val="24"/>
                <w:szCs w:val="24"/>
              </w:rPr>
              <w:t>民法是从日常生活中抽象出来的法律规则，它关系到“人”的生活的方方面面，提供着“从摇篮到坟墓”的全面保护。民法所倡导和追求的平等、自由、诚实信用、人格尊严等，是人类的人文素质和伦理价值的体现，也是美好生活的内涵要素。</w:t>
            </w:r>
          </w:p>
          <w:p>
            <w:pPr>
              <w:ind w:firstLine="480" w:firstLineChars="200"/>
              <w:jc w:val="left"/>
              <w:rPr>
                <w:rFonts w:ascii="楷体" w:hAnsi="楷体" w:eastAsia="楷体"/>
                <w:sz w:val="24"/>
                <w:szCs w:val="24"/>
              </w:rPr>
            </w:pPr>
            <w:r>
              <w:rPr>
                <w:rFonts w:hint="eastAsia" w:ascii="楷体" w:hAnsi="楷体" w:eastAsia="楷体"/>
                <w:sz w:val="24"/>
                <w:szCs w:val="24"/>
              </w:rPr>
              <w:t>《民法与生活》课程，以现实生活中常见的典型案例展示作为切入点，介绍案情，评析案例，重点讲解民法的基本概念和基本制度，展开一幅包含生命权、健康权、身体权、隐私权等人身权和所有权、各类债权等财产权的权利体系图谱。同时，课程注重剖析和解读民法所蕴含的私法精神、契约理念、诚实信用等理念。在课程中，我们不仅能够找到自己的权利，更能学会如何去主张权利，并尊重他人权利。</w:t>
            </w:r>
          </w:p>
          <w:p>
            <w:pPr>
              <w:ind w:firstLine="480" w:firstLineChars="200"/>
              <w:jc w:val="left"/>
              <w:rPr>
                <w:rFonts w:hint="eastAsia" w:ascii="楷体" w:hAnsi="楷体" w:eastAsia="楷体"/>
                <w:sz w:val="24"/>
                <w:szCs w:val="24"/>
              </w:rPr>
            </w:pPr>
            <w:r>
              <w:rPr>
                <w:rFonts w:hint="eastAsia" w:ascii="楷体" w:hAnsi="楷体" w:eastAsia="楷体"/>
                <w:sz w:val="24"/>
                <w:szCs w:val="24"/>
              </w:rPr>
              <w:t>主要内容有：</w:t>
            </w:r>
          </w:p>
          <w:p>
            <w:pPr>
              <w:ind w:firstLine="480" w:firstLineChars="200"/>
              <w:jc w:val="left"/>
              <w:rPr>
                <w:rFonts w:hint="eastAsia" w:ascii="楷体" w:hAnsi="楷体" w:eastAsia="楷体"/>
                <w:sz w:val="24"/>
                <w:szCs w:val="24"/>
              </w:rPr>
            </w:pPr>
            <w:r>
              <w:rPr>
                <w:rFonts w:hint="eastAsia" w:ascii="楷体" w:hAnsi="楷体" w:eastAsia="楷体"/>
                <w:sz w:val="24"/>
                <w:szCs w:val="24"/>
              </w:rPr>
              <w:t>（1）</w:t>
            </w:r>
            <w:r>
              <w:rPr>
                <w:rFonts w:ascii="楷体" w:hAnsi="楷体" w:eastAsia="楷体"/>
                <w:sz w:val="24"/>
                <w:szCs w:val="24"/>
              </w:rPr>
              <w:t>民法中的</w:t>
            </w:r>
            <w:r>
              <w:rPr>
                <w:rFonts w:hint="eastAsia" w:ascii="楷体" w:hAnsi="楷体" w:eastAsia="楷体"/>
                <w:sz w:val="24"/>
                <w:szCs w:val="24"/>
              </w:rPr>
              <w:t>“个人”</w:t>
            </w:r>
            <w:r>
              <w:rPr>
                <w:rFonts w:ascii="楷体" w:hAnsi="楷体" w:eastAsia="楷体"/>
                <w:sz w:val="24"/>
                <w:szCs w:val="24"/>
              </w:rPr>
              <w:t>—</w:t>
            </w:r>
            <w:r>
              <w:rPr>
                <w:rFonts w:hint="eastAsia" w:ascii="楷体" w:hAnsi="楷体" w:eastAsia="楷体"/>
                <w:sz w:val="24"/>
                <w:szCs w:val="24"/>
              </w:rPr>
              <w:t>自然人（4课时）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（2）生活中的</w:t>
            </w:r>
            <w:r>
              <w:rPr>
                <w:rFonts w:ascii="楷体" w:hAnsi="楷体" w:eastAsia="楷体"/>
                <w:sz w:val="24"/>
                <w:szCs w:val="24"/>
              </w:rPr>
              <w:t>民事法律行为</w:t>
            </w:r>
            <w:r>
              <w:rPr>
                <w:rFonts w:hint="eastAsia" w:ascii="楷体" w:hAnsi="楷体" w:eastAsia="楷体"/>
                <w:sz w:val="24"/>
                <w:szCs w:val="24"/>
              </w:rPr>
              <w:t>（4课时）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（3）</w:t>
            </w:r>
            <w:r>
              <w:rPr>
                <w:rFonts w:ascii="楷体" w:hAnsi="楷体" w:eastAsia="楷体"/>
                <w:sz w:val="24"/>
                <w:szCs w:val="24"/>
              </w:rPr>
              <w:t>代理</w:t>
            </w:r>
            <w:r>
              <w:rPr>
                <w:rFonts w:hint="eastAsia" w:ascii="楷体" w:hAnsi="楷体" w:eastAsia="楷体"/>
                <w:sz w:val="24"/>
                <w:szCs w:val="24"/>
              </w:rPr>
              <w:t>（2课时）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（4）民事权利的保质期—</w:t>
            </w:r>
            <w:r>
              <w:rPr>
                <w:rFonts w:ascii="楷体" w:hAnsi="楷体" w:eastAsia="楷体"/>
                <w:sz w:val="24"/>
                <w:szCs w:val="24"/>
              </w:rPr>
              <w:t>诉讼时效</w:t>
            </w:r>
            <w:r>
              <w:rPr>
                <w:rFonts w:hint="eastAsia" w:ascii="楷体" w:hAnsi="楷体" w:eastAsia="楷体"/>
                <w:sz w:val="24"/>
                <w:szCs w:val="24"/>
              </w:rPr>
              <w:t>（2课时）</w:t>
            </w:r>
          </w:p>
          <w:p>
            <w:pPr>
              <w:ind w:firstLine="480" w:firstLineChars="200"/>
              <w:jc w:val="left"/>
              <w:rPr>
                <w:rFonts w:ascii="楷体" w:hAnsi="楷体" w:eastAsia="楷体"/>
                <w:sz w:val="24"/>
                <w:szCs w:val="24"/>
              </w:rPr>
            </w:pPr>
            <w:r>
              <w:rPr>
                <w:rFonts w:hint="eastAsia" w:ascii="楷体" w:hAnsi="楷体" w:eastAsia="楷体"/>
                <w:sz w:val="24"/>
                <w:szCs w:val="24"/>
              </w:rPr>
              <w:t>（5）</w:t>
            </w:r>
            <w:r>
              <w:rPr>
                <w:rFonts w:ascii="楷体" w:hAnsi="楷体" w:eastAsia="楷体"/>
                <w:sz w:val="24"/>
                <w:szCs w:val="24"/>
              </w:rPr>
              <w:t>人身权</w:t>
            </w:r>
            <w:r>
              <w:rPr>
                <w:rFonts w:hint="eastAsia" w:ascii="楷体" w:hAnsi="楷体" w:eastAsia="楷体"/>
                <w:sz w:val="24"/>
                <w:szCs w:val="24"/>
              </w:rPr>
              <w:t>（8课时）</w:t>
            </w:r>
          </w:p>
          <w:p>
            <w:pPr>
              <w:ind w:firstLine="480" w:firstLineChars="200"/>
              <w:jc w:val="left"/>
              <w:rPr>
                <w:rFonts w:hint="eastAsia" w:ascii="楷体" w:hAnsi="楷体" w:eastAsia="楷体"/>
                <w:sz w:val="24"/>
                <w:szCs w:val="24"/>
              </w:rPr>
            </w:pPr>
            <w:r>
              <w:rPr>
                <w:rFonts w:hint="eastAsia" w:ascii="楷体" w:hAnsi="楷体" w:eastAsia="楷体"/>
                <w:sz w:val="24"/>
                <w:szCs w:val="24"/>
              </w:rPr>
              <w:t>（6）财产权之</w:t>
            </w:r>
            <w:r>
              <w:rPr>
                <w:rFonts w:ascii="楷体" w:hAnsi="楷体" w:eastAsia="楷体"/>
                <w:sz w:val="24"/>
                <w:szCs w:val="24"/>
              </w:rPr>
              <w:t>物权通论</w:t>
            </w:r>
            <w:r>
              <w:rPr>
                <w:rFonts w:hint="eastAsia" w:ascii="楷体" w:hAnsi="楷体" w:eastAsia="楷体"/>
                <w:sz w:val="24"/>
                <w:szCs w:val="24"/>
              </w:rPr>
              <w:t>（6课时）</w:t>
            </w:r>
          </w:p>
          <w:p>
            <w:pPr>
              <w:ind w:firstLine="480" w:firstLineChars="200"/>
              <w:jc w:val="left"/>
              <w:rPr>
                <w:rFonts w:hint="eastAsia" w:ascii="Helvetica" w:hAnsi="Helvetica" w:eastAsia="微软雅黑" w:cs="Helvetica"/>
                <w:color w:val="666666"/>
                <w:kern w:val="0"/>
                <w:sz w:val="8"/>
                <w:szCs w:val="8"/>
              </w:rPr>
            </w:pPr>
            <w:r>
              <w:rPr>
                <w:rFonts w:hint="eastAsia" w:ascii="楷体" w:hAnsi="楷体" w:eastAsia="楷体"/>
                <w:sz w:val="24"/>
                <w:szCs w:val="24"/>
              </w:rPr>
              <w:t>（7）财产权之</w:t>
            </w:r>
            <w:r>
              <w:rPr>
                <w:rFonts w:ascii="楷体" w:hAnsi="楷体" w:eastAsia="楷体"/>
                <w:sz w:val="24"/>
                <w:szCs w:val="24"/>
              </w:rPr>
              <w:t>债权总论</w:t>
            </w:r>
            <w:r>
              <w:rPr>
                <w:rFonts w:hint="eastAsia" w:ascii="楷体" w:hAnsi="楷体" w:eastAsia="楷体"/>
                <w:sz w:val="24"/>
                <w:szCs w:val="24"/>
              </w:rPr>
              <w:t>（6课时）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教学目标及教学方法</w:t>
            </w:r>
          </w:p>
        </w:tc>
        <w:tc>
          <w:tcPr>
            <w:tcW w:w="7371" w:type="dxa"/>
            <w:gridSpan w:val="5"/>
            <w:noWrap w:val="0"/>
            <w:vAlign w:val="center"/>
          </w:tcPr>
          <w:p>
            <w:pPr>
              <w:ind w:firstLine="480" w:firstLineChars="200"/>
              <w:jc w:val="left"/>
              <w:rPr>
                <w:rFonts w:ascii="楷体" w:hAnsi="楷体" w:eastAsia="楷体"/>
                <w:sz w:val="24"/>
                <w:szCs w:val="24"/>
              </w:rPr>
            </w:pPr>
            <w:r>
              <w:rPr>
                <w:rFonts w:hint="eastAsia" w:ascii="楷体" w:hAnsi="楷体" w:eastAsia="楷体"/>
                <w:sz w:val="24"/>
                <w:szCs w:val="24"/>
              </w:rPr>
              <w:t>通过本课程的学习，</w:t>
            </w:r>
            <w:r>
              <w:rPr>
                <w:rFonts w:ascii="楷体" w:hAnsi="楷体" w:eastAsia="楷体"/>
                <w:sz w:val="24"/>
                <w:szCs w:val="24"/>
              </w:rPr>
              <w:t>掌握民法的基本概念和基本制度，提高民事权利的保护意识，增强法制观念；熟悉与日常生活关系密切的民法规范，具备应用所学知识分析和解决民事纠纷的能力；学会应用民法理论和民法规范分析和解决民事法律问题的基本技巧和方法</w:t>
            </w:r>
            <w:r>
              <w:rPr>
                <w:rFonts w:hint="eastAsia" w:ascii="楷体" w:hAnsi="楷体" w:eastAsia="楷体"/>
                <w:sz w:val="24"/>
                <w:szCs w:val="24"/>
              </w:rPr>
              <w:t>能运用民法指导自己的生活，维护自己的合法权益。</w:t>
            </w:r>
          </w:p>
          <w:p>
            <w:pPr>
              <w:ind w:firstLine="480" w:firstLineChars="200"/>
              <w:jc w:val="left"/>
              <w:rPr>
                <w:rFonts w:hint="eastAsia" w:ascii="楷体" w:hAnsi="楷体" w:eastAsia="楷体"/>
                <w:sz w:val="24"/>
                <w:szCs w:val="24"/>
              </w:rPr>
            </w:pPr>
            <w:r>
              <w:rPr>
                <w:rFonts w:hint="eastAsia" w:ascii="楷体" w:hAnsi="楷体" w:eastAsia="楷体"/>
                <w:sz w:val="24"/>
                <w:szCs w:val="24"/>
              </w:rPr>
              <w:t>教学方法主要有课堂讲授、以案说法、课堂案例讨论、观看民事庭审小视频等教学形式。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noWrap w:val="0"/>
            <w:vAlign w:val="center"/>
          </w:tcPr>
          <w:p>
            <w:pPr>
              <w:jc w:val="center"/>
              <w:rPr>
                <w:rFonts w:hint="eastAsia" w:ascii="楷体" w:hAnsi="楷体" w:eastAsia="楷体"/>
                <w:b/>
                <w:sz w:val="24"/>
                <w:szCs w:val="24"/>
              </w:rPr>
            </w:pPr>
            <w:r>
              <w:rPr>
                <w:rFonts w:hint="eastAsia"/>
                <w:b/>
                <w:sz w:val="24"/>
                <w:szCs w:val="24"/>
              </w:rPr>
              <w:t>考核要求</w:t>
            </w:r>
          </w:p>
        </w:tc>
        <w:tc>
          <w:tcPr>
            <w:tcW w:w="7371" w:type="dxa"/>
            <w:gridSpan w:val="5"/>
            <w:noWrap w:val="0"/>
            <w:vAlign w:val="center"/>
          </w:tcPr>
          <w:p>
            <w:pPr>
              <w:jc w:val="left"/>
              <w:rPr>
                <w:rFonts w:ascii="楷体" w:hAnsi="楷体" w:eastAsia="楷体"/>
                <w:sz w:val="24"/>
                <w:szCs w:val="24"/>
              </w:rPr>
            </w:pPr>
            <w:r>
              <w:rPr>
                <w:rFonts w:hint="eastAsia" w:ascii="楷体" w:hAnsi="楷体" w:eastAsia="楷体"/>
                <w:sz w:val="24"/>
                <w:szCs w:val="24"/>
              </w:rPr>
              <w:t>（1）本课程为考查科目</w:t>
            </w:r>
          </w:p>
          <w:p>
            <w:pPr>
              <w:jc w:val="left"/>
              <w:rPr>
                <w:rFonts w:hint="eastAsia" w:ascii="楷体" w:hAnsi="楷体" w:eastAsia="楷体"/>
                <w:sz w:val="24"/>
                <w:szCs w:val="24"/>
              </w:rPr>
            </w:pPr>
            <w:r>
              <w:rPr>
                <w:rFonts w:hint="eastAsia" w:ascii="楷体" w:hAnsi="楷体" w:eastAsia="楷体"/>
                <w:sz w:val="24"/>
                <w:szCs w:val="24"/>
              </w:rPr>
              <w:t>（2）平时综合考核占总评成绩的50%，</w:t>
            </w:r>
            <w:r>
              <w:rPr>
                <w:rFonts w:ascii="楷体" w:hAnsi="楷体" w:eastAsia="楷体"/>
                <w:sz w:val="24"/>
                <w:szCs w:val="24"/>
              </w:rPr>
              <w:t>其中包括完成作业占</w:t>
            </w:r>
            <w:r>
              <w:rPr>
                <w:rFonts w:hint="eastAsia" w:ascii="楷体" w:hAnsi="楷体" w:eastAsia="楷体"/>
                <w:sz w:val="24"/>
                <w:szCs w:val="24"/>
              </w:rPr>
              <w:t>20</w:t>
            </w:r>
            <w:r>
              <w:rPr>
                <w:rFonts w:ascii="楷体" w:hAnsi="楷体" w:eastAsia="楷体"/>
                <w:sz w:val="24"/>
                <w:szCs w:val="24"/>
              </w:rPr>
              <w:t>%、出勤情况占15%、经典案例评析占1</w:t>
            </w:r>
            <w:r>
              <w:rPr>
                <w:rFonts w:hint="eastAsia" w:ascii="楷体" w:hAnsi="楷体" w:eastAsia="楷体"/>
                <w:sz w:val="24"/>
                <w:szCs w:val="24"/>
              </w:rPr>
              <w:t>5</w:t>
            </w:r>
            <w:r>
              <w:rPr>
                <w:rFonts w:ascii="楷体" w:hAnsi="楷体" w:eastAsia="楷体"/>
                <w:sz w:val="24"/>
                <w:szCs w:val="24"/>
              </w:rPr>
              <w:t>%；期末考查成绩占总成绩的</w:t>
            </w:r>
            <w:r>
              <w:rPr>
                <w:rFonts w:hint="eastAsia" w:ascii="楷体" w:hAnsi="楷体" w:eastAsia="楷体"/>
                <w:sz w:val="24"/>
                <w:szCs w:val="24"/>
              </w:rPr>
              <w:t>5</w:t>
            </w:r>
            <w:r>
              <w:rPr>
                <w:rFonts w:ascii="楷体" w:hAnsi="楷体" w:eastAsia="楷体"/>
                <w:sz w:val="24"/>
                <w:szCs w:val="24"/>
              </w:rPr>
              <w:t>0%</w:t>
            </w:r>
            <w:r>
              <w:rPr>
                <w:rFonts w:hint="eastAsia" w:ascii="楷体" w:hAnsi="楷体" w:eastAsia="楷体"/>
                <w:sz w:val="24"/>
                <w:szCs w:val="24"/>
              </w:rPr>
              <w:t>。</w:t>
            </w:r>
          </w:p>
        </w:tc>
      </w:tr>
    </w:tbl>
    <w:p>
      <w:pPr>
        <w:ind w:firstLine="360" w:firstLineChars="150"/>
        <w:jc w:val="left"/>
        <w:rPr>
          <w:rFonts w:hint="eastAsia" w:ascii="楷体" w:hAnsi="楷体" w:eastAsia="楷体"/>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AB1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2019-11-29T05:18:44Z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