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通识课程简介</w:t>
      </w:r>
    </w:p>
    <w:tbl>
      <w:tblPr>
        <w:tblStyle w:val="4"/>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851"/>
        <w:gridCol w:w="1417"/>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418" w:type="dxa"/>
            <w:vAlign w:val="center"/>
          </w:tcPr>
          <w:p>
            <w:pPr>
              <w:jc w:val="center"/>
              <w:rPr>
                <w:b/>
                <w:sz w:val="24"/>
                <w:szCs w:val="24"/>
              </w:rPr>
            </w:pPr>
            <w:r>
              <w:rPr>
                <w:rFonts w:hint="eastAsia"/>
                <w:b/>
                <w:sz w:val="24"/>
                <w:szCs w:val="24"/>
              </w:rPr>
              <w:t>课程名称</w:t>
            </w:r>
          </w:p>
        </w:tc>
        <w:tc>
          <w:tcPr>
            <w:tcW w:w="850" w:type="dxa"/>
            <w:vAlign w:val="center"/>
          </w:tcPr>
          <w:p>
            <w:pPr>
              <w:jc w:val="center"/>
              <w:rPr>
                <w:b/>
                <w:sz w:val="24"/>
                <w:szCs w:val="24"/>
              </w:rPr>
            </w:pPr>
            <w:r>
              <w:rPr>
                <w:rFonts w:hint="eastAsia"/>
                <w:b/>
                <w:sz w:val="24"/>
                <w:szCs w:val="24"/>
              </w:rPr>
              <w:t>学分</w:t>
            </w:r>
          </w:p>
        </w:tc>
        <w:tc>
          <w:tcPr>
            <w:tcW w:w="851" w:type="dxa"/>
            <w:vAlign w:val="center"/>
          </w:tcPr>
          <w:p>
            <w:pPr>
              <w:jc w:val="center"/>
              <w:rPr>
                <w:b/>
                <w:sz w:val="24"/>
                <w:szCs w:val="24"/>
              </w:rPr>
            </w:pPr>
            <w:r>
              <w:rPr>
                <w:rFonts w:hint="eastAsia"/>
                <w:b/>
                <w:sz w:val="24"/>
                <w:szCs w:val="24"/>
              </w:rPr>
              <w:t>学时</w:t>
            </w:r>
          </w:p>
        </w:tc>
        <w:tc>
          <w:tcPr>
            <w:tcW w:w="1417" w:type="dxa"/>
            <w:vAlign w:val="center"/>
          </w:tcPr>
          <w:p>
            <w:pPr>
              <w:jc w:val="center"/>
              <w:rPr>
                <w:b/>
                <w:sz w:val="24"/>
                <w:szCs w:val="24"/>
              </w:rPr>
            </w:pPr>
            <w:r>
              <w:rPr>
                <w:rFonts w:hint="eastAsia"/>
                <w:b/>
                <w:sz w:val="24"/>
                <w:szCs w:val="24"/>
              </w:rPr>
              <w:t>归属模块</w:t>
            </w:r>
          </w:p>
        </w:tc>
        <w:tc>
          <w:tcPr>
            <w:tcW w:w="2127" w:type="dxa"/>
            <w:vAlign w:val="center"/>
          </w:tcPr>
          <w:p>
            <w:pPr>
              <w:jc w:val="center"/>
              <w:rPr>
                <w:b/>
                <w:sz w:val="24"/>
                <w:szCs w:val="24"/>
              </w:rPr>
            </w:pPr>
            <w:r>
              <w:rPr>
                <w:rFonts w:hint="eastAsia"/>
                <w:b/>
                <w:sz w:val="24"/>
                <w:szCs w:val="24"/>
              </w:rPr>
              <w:t>开课学期</w:t>
            </w:r>
          </w:p>
        </w:tc>
        <w:tc>
          <w:tcPr>
            <w:tcW w:w="2126" w:type="dxa"/>
            <w:vAlign w:val="center"/>
          </w:tcPr>
          <w:p>
            <w:pPr>
              <w:jc w:val="center"/>
              <w:rPr>
                <w:b/>
                <w:sz w:val="24"/>
                <w:szCs w:val="24"/>
              </w:rPr>
            </w:pPr>
            <w:r>
              <w:rPr>
                <w:rFonts w:hint="eastAsia"/>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418" w:type="dxa"/>
            <w:vAlign w:val="center"/>
          </w:tcPr>
          <w:p>
            <w:pPr>
              <w:jc w:val="center"/>
              <w:rPr>
                <w:rFonts w:ascii="楷体" w:hAnsi="楷体" w:eastAsia="楷体"/>
                <w:sz w:val="24"/>
                <w:szCs w:val="24"/>
              </w:rPr>
            </w:pPr>
            <w:bookmarkStart w:id="0" w:name="_GoBack"/>
            <w:r>
              <w:rPr>
                <w:rFonts w:hint="eastAsia" w:ascii="楷体" w:hAnsi="楷体" w:eastAsia="楷体"/>
                <w:sz w:val="24"/>
                <w:szCs w:val="24"/>
              </w:rPr>
              <w:t>戏剧鉴赏</w:t>
            </w:r>
            <w:bookmarkEnd w:id="0"/>
          </w:p>
        </w:tc>
        <w:tc>
          <w:tcPr>
            <w:tcW w:w="850" w:type="dxa"/>
            <w:vAlign w:val="center"/>
          </w:tcPr>
          <w:p>
            <w:pPr>
              <w:jc w:val="center"/>
              <w:rPr>
                <w:rFonts w:ascii="楷体" w:hAnsi="楷体" w:eastAsia="楷体"/>
                <w:sz w:val="24"/>
                <w:szCs w:val="24"/>
              </w:rPr>
            </w:pPr>
            <w:r>
              <w:rPr>
                <w:rFonts w:hint="eastAsia" w:ascii="楷体" w:hAnsi="楷体" w:eastAsia="楷体"/>
                <w:sz w:val="24"/>
                <w:szCs w:val="24"/>
              </w:rPr>
              <w:t>2</w:t>
            </w:r>
          </w:p>
        </w:tc>
        <w:tc>
          <w:tcPr>
            <w:tcW w:w="851" w:type="dxa"/>
            <w:vAlign w:val="center"/>
          </w:tcPr>
          <w:p>
            <w:pPr>
              <w:jc w:val="center"/>
              <w:rPr>
                <w:rFonts w:ascii="楷体" w:hAnsi="楷体" w:eastAsia="楷体"/>
                <w:sz w:val="24"/>
                <w:szCs w:val="24"/>
              </w:rPr>
            </w:pPr>
            <w:r>
              <w:rPr>
                <w:rFonts w:hint="eastAsia" w:ascii="楷体" w:hAnsi="楷体" w:eastAsia="楷体"/>
                <w:sz w:val="24"/>
                <w:szCs w:val="24"/>
              </w:rPr>
              <w:t>32</w:t>
            </w:r>
          </w:p>
        </w:tc>
        <w:tc>
          <w:tcPr>
            <w:tcW w:w="1417" w:type="dxa"/>
            <w:vAlign w:val="center"/>
          </w:tcPr>
          <w:p>
            <w:pPr>
              <w:jc w:val="center"/>
              <w:rPr>
                <w:rFonts w:ascii="楷体" w:hAnsi="楷体" w:eastAsia="楷体"/>
                <w:sz w:val="24"/>
                <w:szCs w:val="24"/>
              </w:rPr>
            </w:pPr>
            <w:r>
              <w:rPr>
                <w:rFonts w:hint="eastAsia" w:ascii="楷体" w:hAnsi="楷体" w:eastAsia="楷体"/>
                <w:sz w:val="24"/>
                <w:szCs w:val="24"/>
              </w:rPr>
              <w:t xml:space="preserve">艺术修养与运动健康                                                                                                                                                                                                                                                                                                                                                                                                                                                                                                                                                                                                                                                                                                                                                                                                                                                                                                                                                                                                                                                                                                                                                                                                                                                                                                                                                                                                                                                                                                                                                                                                                                                                                                                                                                                                                                                                                                                                                                                                                                                                                                                                                                                                                                                                                                                                                                                                                                                                                                                                                                                                                                                                                                                                                                                                                                                                                                                                                                                                                                                                                                                                                                                                                                                                                                                                                                                                                                                                                                                                                                                                                                                                                                                                                                                                                                                                                                                                                                                                                                                                                                                                                                                                       </w:t>
            </w:r>
            <w:r>
              <w:rPr>
                <w:rFonts w:hint="eastAsia" w:ascii="楷体" w:hAnsi="楷体" w:eastAsia="楷体"/>
                <w:sz w:val="24"/>
                <w:szCs w:val="24"/>
              </w:rPr>
              <w:t xml:space="preserve">                                                                                                                                                                                                                                                                                                                                                                                                                                                                                                                                                                                                                                                                                                                                                                                                                                                                                                                                                                                                                                                                                                                                                                                                                                                                                                                                                                                                                                                                                                                                                                                                                                                                                                                                                                                                                                                                                                                                                                                                                                                                                                                                                                                                                                                                                                                                                                                                                                                                                                                                                                                                                                                                                                                                                                                                                                                                                                                                                                                                                                                                                                                                                                                                                                                                                                                                                                                                                                                                                                                                                                                                                                                                                                                                                                                                                                                                                                                                                                                                                                                                                                                                                                             </w:t>
            </w:r>
          </w:p>
        </w:tc>
        <w:tc>
          <w:tcPr>
            <w:tcW w:w="2127" w:type="dxa"/>
            <w:vAlign w:val="center"/>
          </w:tcPr>
          <w:p>
            <w:pPr>
              <w:jc w:val="center"/>
              <w:rPr>
                <w:rFonts w:ascii="楷体" w:hAnsi="楷体" w:eastAsia="楷体"/>
                <w:sz w:val="24"/>
                <w:szCs w:val="24"/>
              </w:rPr>
            </w:pPr>
            <w:r>
              <w:rPr>
                <w:rFonts w:hint="eastAsia" w:ascii="楷体" w:hAnsi="楷体" w:eastAsia="楷体"/>
                <w:sz w:val="24"/>
                <w:szCs w:val="24"/>
              </w:rPr>
              <w:t>第2-7学期</w:t>
            </w:r>
          </w:p>
        </w:tc>
        <w:tc>
          <w:tcPr>
            <w:tcW w:w="2126" w:type="dxa"/>
            <w:vAlign w:val="center"/>
          </w:tcPr>
          <w:p>
            <w:pPr>
              <w:jc w:val="center"/>
              <w:rPr>
                <w:rFonts w:ascii="楷体" w:hAnsi="楷体" w:eastAsia="楷体"/>
                <w:sz w:val="24"/>
                <w:szCs w:val="24"/>
              </w:rPr>
            </w:pPr>
            <w:r>
              <w:rPr>
                <w:rFonts w:hint="eastAsia" w:ascii="楷体" w:hAnsi="楷体" w:eastAsia="楷体"/>
                <w:sz w:val="24"/>
                <w:szCs w:val="24"/>
              </w:rPr>
              <w:t>彭丽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ascii="楷体" w:hAnsi="楷体" w:eastAsia="楷体"/>
                <w:b/>
                <w:sz w:val="24"/>
                <w:szCs w:val="24"/>
              </w:rPr>
            </w:pPr>
            <w:r>
              <w:rPr>
                <w:rFonts w:hint="eastAsia" w:ascii="楷体" w:hAnsi="楷体" w:eastAsia="楷体"/>
                <w:b/>
                <w:sz w:val="24"/>
                <w:szCs w:val="24"/>
              </w:rPr>
              <w:t>课程</w:t>
            </w:r>
          </w:p>
          <w:p>
            <w:pPr>
              <w:jc w:val="center"/>
              <w:rPr>
                <w:rFonts w:ascii="楷体" w:hAnsi="楷体" w:eastAsia="楷体"/>
                <w:b/>
                <w:sz w:val="24"/>
                <w:szCs w:val="24"/>
              </w:rPr>
            </w:pPr>
            <w:r>
              <w:rPr>
                <w:rFonts w:hint="eastAsia" w:ascii="楷体" w:hAnsi="楷体" w:eastAsia="楷体"/>
                <w:b/>
                <w:sz w:val="24"/>
                <w:szCs w:val="24"/>
              </w:rPr>
              <w:t>主要内容</w:t>
            </w:r>
          </w:p>
        </w:tc>
        <w:tc>
          <w:tcPr>
            <w:tcW w:w="7371" w:type="dxa"/>
            <w:gridSpan w:val="5"/>
            <w:vAlign w:val="center"/>
          </w:tcPr>
          <w:p>
            <w:pPr>
              <w:spacing w:line="320" w:lineRule="exact"/>
              <w:ind w:firstLine="405"/>
              <w:jc w:val="left"/>
              <w:rPr>
                <w:rFonts w:hint="eastAsia" w:ascii="楷体" w:hAnsi="楷体" w:eastAsia="楷体"/>
                <w:sz w:val="24"/>
                <w:szCs w:val="24"/>
              </w:rPr>
            </w:pPr>
          </w:p>
          <w:p>
            <w:pPr>
              <w:spacing w:line="320" w:lineRule="exact"/>
              <w:ind w:firstLine="405"/>
              <w:jc w:val="left"/>
              <w:rPr>
                <w:rFonts w:hint="eastAsia" w:ascii="楷体" w:hAnsi="楷体" w:eastAsia="楷体"/>
                <w:sz w:val="24"/>
                <w:szCs w:val="24"/>
              </w:rPr>
            </w:pPr>
            <w:r>
              <w:rPr>
                <w:rFonts w:ascii="楷体" w:hAnsi="楷体" w:eastAsia="楷体"/>
                <w:sz w:val="24"/>
                <w:szCs w:val="24"/>
              </w:rPr>
              <w:t>该课程根据广大学生的爱好结合戏剧艺术发展史来满足学生的学习鉴赏要求，系统讲解与欣赏中外戏剧发展史的艺术成果，并通过实践体验环节培养学生的审美鉴赏能力及语言表达能力。</w:t>
            </w:r>
          </w:p>
          <w:p>
            <w:pPr>
              <w:spacing w:line="320" w:lineRule="exact"/>
              <w:ind w:firstLine="405"/>
              <w:jc w:val="left"/>
              <w:rPr>
                <w:rFonts w:hint="eastAsia" w:ascii="楷体" w:hAnsi="楷体" w:eastAsia="楷体"/>
                <w:sz w:val="24"/>
                <w:szCs w:val="24"/>
              </w:rPr>
            </w:pPr>
            <w:r>
              <w:rPr>
                <w:rFonts w:ascii="楷体" w:hAnsi="楷体" w:eastAsia="楷体"/>
                <w:sz w:val="24"/>
                <w:szCs w:val="24"/>
              </w:rPr>
              <w:t>课程设计思路是：</w:t>
            </w:r>
            <w:r>
              <w:rPr>
                <w:rFonts w:hint="eastAsia" w:ascii="楷体" w:hAnsi="楷体" w:eastAsia="楷体"/>
                <w:sz w:val="24"/>
                <w:szCs w:val="24"/>
              </w:rPr>
              <w:t xml:space="preserve"> </w:t>
            </w:r>
            <w:r>
              <w:rPr>
                <w:rFonts w:ascii="楷体" w:hAnsi="楷体" w:eastAsia="楷体"/>
                <w:sz w:val="24"/>
                <w:szCs w:val="24"/>
              </w:rPr>
              <w:t>精心选择教学内容，在课程教学内容的安排上设计了戏剧名作赏析、戏剧艺术的起源与形成、戏剧观念的历史沿革、各时期中外戏剧的形式与特点、戏剧表现手法等方面的知识，以传递人文精神与科学精神为基本价值取向，拓展学生视野，开拓学生思维，陶冶学生情感，丰富学生人文知识，提升学生审美鉴赏能力</w:t>
            </w:r>
            <w:r>
              <w:rPr>
                <w:rFonts w:hint="eastAsia" w:ascii="楷体" w:hAnsi="楷体" w:eastAsia="楷体"/>
                <w:sz w:val="24"/>
                <w:szCs w:val="24"/>
              </w:rPr>
              <w:t>。</w:t>
            </w:r>
          </w:p>
          <w:p>
            <w:pPr>
              <w:spacing w:line="320" w:lineRule="exact"/>
              <w:ind w:firstLine="405"/>
              <w:jc w:val="left"/>
              <w:rPr>
                <w:rFonts w:ascii="楷体" w:hAnsi="楷体" w:eastAsia="楷体"/>
                <w:sz w:val="24"/>
                <w:szCs w:val="24"/>
              </w:rPr>
            </w:pPr>
            <w:r>
              <w:rPr>
                <w:rFonts w:hint="eastAsia" w:ascii="楷体" w:hAnsi="楷体" w:eastAsia="楷体"/>
                <w:sz w:val="24"/>
                <w:szCs w:val="24"/>
              </w:rPr>
              <w:t>课程总学时数为</w:t>
            </w:r>
            <w:r>
              <w:rPr>
                <w:rFonts w:ascii="楷体" w:hAnsi="楷体" w:eastAsia="楷体"/>
                <w:sz w:val="24"/>
                <w:szCs w:val="24"/>
              </w:rPr>
              <w:t>3</w:t>
            </w:r>
            <w:r>
              <w:rPr>
                <w:rFonts w:hint="eastAsia" w:ascii="楷体" w:hAnsi="楷体" w:eastAsia="楷体"/>
                <w:sz w:val="24"/>
                <w:szCs w:val="24"/>
              </w:rPr>
              <w:t>2学时，</w:t>
            </w:r>
            <w:r>
              <w:rPr>
                <w:rFonts w:hint="eastAsia" w:ascii="楷体" w:hAnsi="楷体" w:eastAsia="楷体" w:cs="宋体"/>
                <w:color w:val="000000"/>
                <w:kern w:val="0"/>
                <w:sz w:val="24"/>
                <w:szCs w:val="24"/>
              </w:rPr>
              <w:t>采取理论修养与鉴赏能力双重并进、相辅相成的教学方法和教学体系。主要内容包含以下几个模块：</w:t>
            </w:r>
          </w:p>
          <w:p>
            <w:pPr>
              <w:ind w:firstLine="480" w:firstLineChars="200"/>
              <w:jc w:val="left"/>
              <w:rPr>
                <w:rFonts w:ascii="楷体" w:hAnsi="楷体" w:eastAsia="楷体"/>
                <w:sz w:val="24"/>
                <w:szCs w:val="24"/>
              </w:rPr>
            </w:pPr>
            <w:r>
              <w:rPr>
                <w:rFonts w:hint="eastAsia" w:ascii="楷体" w:hAnsi="楷体" w:eastAsia="楷体"/>
                <w:sz w:val="24"/>
                <w:szCs w:val="24"/>
              </w:rPr>
              <w:t>模块一：戏剧艺术的起源与形式   （4课时）</w:t>
            </w:r>
          </w:p>
          <w:p>
            <w:pPr>
              <w:ind w:firstLine="480" w:firstLineChars="200"/>
              <w:jc w:val="left"/>
              <w:rPr>
                <w:rFonts w:ascii="楷体" w:hAnsi="楷体" w:eastAsia="楷体"/>
                <w:sz w:val="24"/>
                <w:szCs w:val="24"/>
              </w:rPr>
            </w:pPr>
            <w:r>
              <w:rPr>
                <w:rFonts w:hint="eastAsia" w:ascii="楷体" w:hAnsi="楷体" w:eastAsia="楷体"/>
                <w:sz w:val="24"/>
                <w:szCs w:val="24"/>
              </w:rPr>
              <w:t>模块二：中西戏剧观念的历史沿革 （6课时）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模块三：中外经典戏剧作品赏析   （20课时）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模块四：戏剧作品表演           （2课时）</w:t>
            </w:r>
          </w:p>
          <w:p>
            <w:pPr>
              <w:ind w:firstLine="480" w:firstLineChars="200"/>
              <w:jc w:val="left"/>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ascii="楷体" w:hAnsi="楷体" w:eastAsia="楷体"/>
                <w:b/>
                <w:sz w:val="24"/>
                <w:szCs w:val="24"/>
              </w:rPr>
            </w:pPr>
            <w:r>
              <w:rPr>
                <w:rFonts w:hint="eastAsia" w:ascii="楷体" w:hAnsi="楷体" w:eastAsia="楷体"/>
                <w:b/>
                <w:sz w:val="24"/>
                <w:szCs w:val="24"/>
              </w:rPr>
              <w:t>教学目标及教学方法</w:t>
            </w:r>
          </w:p>
        </w:tc>
        <w:tc>
          <w:tcPr>
            <w:tcW w:w="7371" w:type="dxa"/>
            <w:gridSpan w:val="5"/>
            <w:vAlign w:val="center"/>
          </w:tcPr>
          <w:p>
            <w:pPr>
              <w:spacing w:line="360" w:lineRule="exact"/>
              <w:ind w:firstLine="480" w:firstLineChars="200"/>
              <w:rPr>
                <w:rFonts w:hint="eastAsia" w:ascii="楷体" w:hAnsi="楷体" w:eastAsia="楷体" w:cs="宋体"/>
                <w:color w:val="000000"/>
                <w:kern w:val="0"/>
                <w:sz w:val="24"/>
                <w:szCs w:val="24"/>
              </w:rPr>
            </w:pPr>
          </w:p>
          <w:p>
            <w:pPr>
              <w:spacing w:line="360" w:lineRule="exact"/>
              <w:ind w:firstLine="480" w:firstLineChars="200"/>
              <w:rPr>
                <w:rFonts w:ascii="楷体" w:hAnsi="楷体" w:eastAsia="楷体" w:cs="宋体"/>
                <w:color w:val="000000"/>
                <w:kern w:val="0"/>
                <w:sz w:val="24"/>
                <w:szCs w:val="24"/>
              </w:rPr>
            </w:pPr>
            <w:r>
              <w:rPr>
                <w:rFonts w:hint="eastAsia" w:ascii="楷体" w:hAnsi="楷体" w:eastAsia="楷体" w:cs="宋体"/>
                <w:color w:val="000000"/>
                <w:kern w:val="0"/>
                <w:sz w:val="24"/>
                <w:szCs w:val="24"/>
              </w:rPr>
              <w:t>该课程通过教学，在指导学生学习戏剧艺术的基本知识的基础上，培养其鉴赏评价作品的能力。使学生树立科学的审美观念，进而提高自身的审美能力和文化艺术修养。</w:t>
            </w:r>
          </w:p>
          <w:p>
            <w:pPr>
              <w:spacing w:line="360" w:lineRule="exact"/>
              <w:ind w:firstLine="480" w:firstLineChars="200"/>
              <w:rPr>
                <w:rFonts w:ascii="楷体" w:hAnsi="楷体" w:eastAsia="楷体"/>
                <w:sz w:val="24"/>
                <w:szCs w:val="24"/>
              </w:rPr>
            </w:pPr>
            <w:r>
              <w:rPr>
                <w:rFonts w:hint="eastAsia" w:ascii="楷体" w:hAnsi="楷体" w:eastAsia="楷体" w:cs="宋体"/>
                <w:color w:val="000000"/>
                <w:kern w:val="0"/>
                <w:sz w:val="24"/>
                <w:szCs w:val="24"/>
              </w:rPr>
              <w:t>该课程教学</w:t>
            </w:r>
            <w:r>
              <w:rPr>
                <w:rFonts w:ascii="楷体" w:hAnsi="楷体" w:eastAsia="楷体" w:cs="宋体"/>
                <w:color w:val="000000"/>
                <w:kern w:val="0"/>
                <w:sz w:val="24"/>
                <w:szCs w:val="24"/>
              </w:rPr>
              <w:t>既要注意知识连贯性及衔接关系，又要注意在全面教学的基础上有所侧重</w:t>
            </w:r>
            <w:r>
              <w:rPr>
                <w:rFonts w:hint="eastAsia" w:ascii="楷体" w:hAnsi="楷体" w:eastAsia="楷体" w:cs="宋体"/>
                <w:color w:val="000000"/>
                <w:kern w:val="0"/>
                <w:sz w:val="24"/>
                <w:szCs w:val="24"/>
              </w:rPr>
              <w:t>。</w:t>
            </w:r>
            <w:r>
              <w:rPr>
                <w:rFonts w:hint="eastAsia" w:ascii="楷体" w:hAnsi="楷体" w:eastAsia="楷体"/>
                <w:sz w:val="24"/>
                <w:szCs w:val="24"/>
              </w:rPr>
              <w:t>教学以课堂讲授、作品鉴赏与讨论、小组扮演等多种形式交叉进行。尽可能在教学中要多开展学生上台实践的教学活动，充分调动学生的学习积极性，激发学生学习热情，最大限度地让学生参与课堂教学。</w:t>
            </w:r>
          </w:p>
          <w:p>
            <w:pPr>
              <w:ind w:firstLine="480" w:firstLineChars="200"/>
              <w:jc w:val="left"/>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ascii="楷体" w:hAnsi="楷体" w:eastAsia="楷体"/>
                <w:b/>
                <w:sz w:val="24"/>
                <w:szCs w:val="24"/>
              </w:rPr>
            </w:pPr>
            <w:r>
              <w:rPr>
                <w:rFonts w:hint="eastAsia" w:ascii="楷体" w:hAnsi="楷体" w:eastAsia="楷体"/>
                <w:b/>
                <w:sz w:val="24"/>
                <w:szCs w:val="24"/>
              </w:rPr>
              <w:t>考核要求</w:t>
            </w:r>
          </w:p>
        </w:tc>
        <w:tc>
          <w:tcPr>
            <w:tcW w:w="7371" w:type="dxa"/>
            <w:gridSpan w:val="5"/>
            <w:vAlign w:val="center"/>
          </w:tcPr>
          <w:p>
            <w:pPr>
              <w:jc w:val="left"/>
              <w:rPr>
                <w:rFonts w:ascii="楷体" w:hAnsi="楷体" w:eastAsia="楷体"/>
                <w:sz w:val="24"/>
                <w:szCs w:val="24"/>
              </w:rPr>
            </w:pPr>
          </w:p>
          <w:p>
            <w:pPr>
              <w:ind w:firstLine="480" w:firstLineChars="200"/>
              <w:jc w:val="left"/>
              <w:rPr>
                <w:rFonts w:ascii="楷体" w:hAnsi="楷体" w:eastAsia="楷体"/>
                <w:sz w:val="24"/>
                <w:szCs w:val="24"/>
              </w:rPr>
            </w:pPr>
            <w:r>
              <w:rPr>
                <w:rFonts w:hint="eastAsia" w:ascii="楷体" w:hAnsi="楷体" w:eastAsia="楷体"/>
                <w:sz w:val="24"/>
                <w:szCs w:val="24"/>
              </w:rPr>
              <w:t>（1）本课程为</w:t>
            </w:r>
            <w:r>
              <w:rPr>
                <w:rFonts w:hint="eastAsia" w:ascii="楷体" w:hAnsi="楷体" w:eastAsia="楷体"/>
                <w:b/>
                <w:sz w:val="24"/>
                <w:szCs w:val="24"/>
              </w:rPr>
              <w:t>考查</w:t>
            </w:r>
            <w:r>
              <w:rPr>
                <w:rFonts w:hint="eastAsia" w:ascii="楷体" w:hAnsi="楷体" w:eastAsia="楷体"/>
                <w:sz w:val="24"/>
                <w:szCs w:val="24"/>
              </w:rPr>
              <w:t>科目</w:t>
            </w:r>
          </w:p>
          <w:p>
            <w:pPr>
              <w:adjustRightInd w:val="0"/>
              <w:snapToGrid w:val="0"/>
              <w:spacing w:line="360" w:lineRule="exact"/>
              <w:ind w:firstLine="480" w:firstLineChars="200"/>
              <w:rPr>
                <w:rFonts w:ascii="楷体" w:hAnsi="楷体" w:eastAsia="楷体"/>
                <w:sz w:val="24"/>
                <w:szCs w:val="24"/>
              </w:rPr>
            </w:pPr>
            <w:r>
              <w:rPr>
                <w:rFonts w:hint="eastAsia" w:ascii="楷体" w:hAnsi="楷体" w:eastAsia="楷体"/>
                <w:sz w:val="24"/>
                <w:szCs w:val="24"/>
              </w:rPr>
              <w:t>（2）</w:t>
            </w:r>
            <w:r>
              <w:rPr>
                <w:rFonts w:hint="eastAsia" w:ascii="楷体" w:hAnsi="楷体" w:eastAsia="楷体"/>
                <w:b/>
                <w:sz w:val="24"/>
                <w:szCs w:val="24"/>
              </w:rPr>
              <w:t>总成绩100分=</w:t>
            </w:r>
            <w:r>
              <w:rPr>
                <w:rFonts w:ascii="楷体" w:hAnsi="楷体" w:eastAsia="楷体"/>
                <w:b/>
                <w:sz w:val="24"/>
                <w:szCs w:val="24"/>
              </w:rPr>
              <w:t>平时成绩</w:t>
            </w:r>
            <w:r>
              <w:rPr>
                <w:rFonts w:hint="eastAsia" w:ascii="楷体" w:hAnsi="楷体" w:eastAsia="楷体"/>
                <w:b/>
                <w:sz w:val="24"/>
                <w:szCs w:val="24"/>
              </w:rPr>
              <w:t>50分</w:t>
            </w:r>
            <w:r>
              <w:rPr>
                <w:rFonts w:hint="eastAsia" w:ascii="楷体" w:hAnsi="楷体" w:eastAsia="楷体"/>
                <w:sz w:val="24"/>
                <w:szCs w:val="24"/>
              </w:rPr>
              <w:t>（由</w:t>
            </w:r>
            <w:r>
              <w:rPr>
                <w:rFonts w:ascii="楷体" w:hAnsi="楷体" w:eastAsia="楷体"/>
                <w:sz w:val="24"/>
                <w:szCs w:val="24"/>
              </w:rPr>
              <w:t>课堂出勤分1</w:t>
            </w:r>
            <w:r>
              <w:rPr>
                <w:rFonts w:hint="eastAsia" w:ascii="楷体" w:hAnsi="楷体" w:eastAsia="楷体"/>
                <w:sz w:val="24"/>
                <w:szCs w:val="24"/>
              </w:rPr>
              <w:t>0</w:t>
            </w:r>
            <w:r>
              <w:rPr>
                <w:rFonts w:ascii="楷体" w:hAnsi="楷体" w:eastAsia="楷体"/>
                <w:sz w:val="24"/>
                <w:szCs w:val="24"/>
              </w:rPr>
              <w:t>分+</w:t>
            </w:r>
            <w:r>
              <w:rPr>
                <w:rFonts w:hint="eastAsia" w:ascii="楷体" w:hAnsi="楷体" w:eastAsia="楷体"/>
                <w:sz w:val="24"/>
                <w:szCs w:val="24"/>
              </w:rPr>
              <w:t>作业：写作二篇戏剧评论20分</w:t>
            </w:r>
            <w:r>
              <w:rPr>
                <w:rFonts w:ascii="楷体" w:hAnsi="楷体" w:eastAsia="楷体"/>
                <w:sz w:val="24"/>
                <w:szCs w:val="24"/>
              </w:rPr>
              <w:t>+</w:t>
            </w:r>
            <w:r>
              <w:rPr>
                <w:rFonts w:hint="eastAsia" w:ascii="楷体" w:hAnsi="楷体" w:eastAsia="楷体"/>
                <w:sz w:val="24"/>
                <w:szCs w:val="24"/>
              </w:rPr>
              <w:t>课堂答问及表演20分）</w:t>
            </w:r>
            <w:r>
              <w:rPr>
                <w:rFonts w:hint="eastAsia" w:ascii="楷体" w:hAnsi="楷体" w:eastAsia="楷体"/>
                <w:b/>
                <w:sz w:val="24"/>
                <w:szCs w:val="24"/>
              </w:rPr>
              <w:t>+期末考试50分</w:t>
            </w:r>
            <w:r>
              <w:rPr>
                <w:rFonts w:hint="eastAsia" w:ascii="楷体" w:hAnsi="楷体" w:eastAsia="楷体"/>
                <w:sz w:val="24"/>
                <w:szCs w:val="24"/>
              </w:rPr>
              <w:t>（分小组舞台戏剧作品表演）</w:t>
            </w:r>
          </w:p>
          <w:p>
            <w:pPr>
              <w:jc w:val="left"/>
              <w:rPr>
                <w:rFonts w:hint="eastAsia" w:ascii="楷体" w:hAnsi="楷体" w:eastAsia="楷体"/>
                <w:sz w:val="24"/>
                <w:szCs w:val="24"/>
              </w:rPr>
            </w:pPr>
          </w:p>
          <w:p>
            <w:pPr>
              <w:jc w:val="left"/>
              <w:rPr>
                <w:rFonts w:ascii="楷体" w:hAnsi="楷体" w:eastAsia="楷体"/>
                <w:sz w:val="24"/>
                <w:szCs w:val="24"/>
              </w:rPr>
            </w:pPr>
          </w:p>
        </w:tc>
      </w:tr>
    </w:tbl>
    <w:p>
      <w:pPr>
        <w:rPr>
          <w:rFonts w:ascii="黑体" w:hAnsi="黑体" w:eastAsia="黑体"/>
          <w:sz w:val="36"/>
          <w:szCs w:val="36"/>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6CAA"/>
    <w:rsid w:val="00342980"/>
    <w:rsid w:val="00410FF4"/>
    <w:rsid w:val="00413C63"/>
    <w:rsid w:val="004C6F7D"/>
    <w:rsid w:val="00576CAA"/>
    <w:rsid w:val="005A3934"/>
    <w:rsid w:val="006C5486"/>
    <w:rsid w:val="00791BC7"/>
    <w:rsid w:val="007C1705"/>
    <w:rsid w:val="0084367B"/>
    <w:rsid w:val="008975C1"/>
    <w:rsid w:val="008D3D54"/>
    <w:rsid w:val="009D7004"/>
    <w:rsid w:val="00A977CF"/>
    <w:rsid w:val="00B5227C"/>
    <w:rsid w:val="00D25B3A"/>
    <w:rsid w:val="00EB6D1C"/>
    <w:rsid w:val="00FC4D97"/>
    <w:rsid w:val="00FE49BA"/>
    <w:rsid w:val="7450345A"/>
    <w:rsid w:val="77B22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uiPriority w:val="99"/>
    <w:rPr>
      <w:sz w:val="18"/>
      <w:szCs w:val="18"/>
    </w:rPr>
  </w:style>
  <w:style w:type="character" w:customStyle="1" w:styleId="7">
    <w:name w:val="页眉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6B01B-9789-42E5-94D4-9FCC60CA0C5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1318</Words>
  <Characters>7513</Characters>
  <Lines>62</Lines>
  <Paragraphs>17</Paragraphs>
  <TotalTime>99</TotalTime>
  <ScaleCrop>false</ScaleCrop>
  <LinksUpToDate>false</LinksUpToDate>
  <CharactersWithSpaces>8814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2019-11-26T07:18:00Z</dcterms:created>
  <dc:creator>Administrator</dc:creator>
  <cp:lastModifiedBy>Administrator</cp:lastModifiedBy>
  <dcterms:modified xsi:type="dcterms:W3CDTF">2019-11-29T08:08:51Z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