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r>
        <w:rPr>
          <w:rFonts w:hint="eastAsia" w:ascii="黑体" w:hAnsi="黑体" w:eastAsia="黑体"/>
          <w:sz w:val="36"/>
          <w:szCs w:val="36"/>
        </w:rPr>
        <w:t>通识课程简介</w:t>
      </w:r>
    </w:p>
    <w:tbl>
      <w:tblPr>
        <w:tblStyle w:val="4"/>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850"/>
        <w:gridCol w:w="851"/>
        <w:gridCol w:w="1417"/>
        <w:gridCol w:w="212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418" w:type="dxa"/>
            <w:vAlign w:val="center"/>
          </w:tcPr>
          <w:p>
            <w:pPr>
              <w:jc w:val="center"/>
              <w:rPr>
                <w:b/>
                <w:sz w:val="24"/>
                <w:szCs w:val="24"/>
              </w:rPr>
            </w:pPr>
            <w:r>
              <w:rPr>
                <w:rFonts w:hint="eastAsia"/>
                <w:b/>
                <w:sz w:val="24"/>
                <w:szCs w:val="24"/>
              </w:rPr>
              <w:t>课程名称</w:t>
            </w:r>
          </w:p>
        </w:tc>
        <w:tc>
          <w:tcPr>
            <w:tcW w:w="850" w:type="dxa"/>
            <w:vAlign w:val="center"/>
          </w:tcPr>
          <w:p>
            <w:pPr>
              <w:jc w:val="center"/>
              <w:rPr>
                <w:b/>
                <w:sz w:val="24"/>
                <w:szCs w:val="24"/>
              </w:rPr>
            </w:pPr>
            <w:r>
              <w:rPr>
                <w:rFonts w:hint="eastAsia"/>
                <w:b/>
                <w:sz w:val="24"/>
                <w:szCs w:val="24"/>
              </w:rPr>
              <w:t>学分</w:t>
            </w:r>
          </w:p>
        </w:tc>
        <w:tc>
          <w:tcPr>
            <w:tcW w:w="851" w:type="dxa"/>
            <w:vAlign w:val="center"/>
          </w:tcPr>
          <w:p>
            <w:pPr>
              <w:jc w:val="center"/>
              <w:rPr>
                <w:b/>
                <w:sz w:val="24"/>
                <w:szCs w:val="24"/>
              </w:rPr>
            </w:pPr>
            <w:r>
              <w:rPr>
                <w:rFonts w:hint="eastAsia"/>
                <w:b/>
                <w:sz w:val="24"/>
                <w:szCs w:val="24"/>
              </w:rPr>
              <w:t>学时</w:t>
            </w:r>
          </w:p>
        </w:tc>
        <w:tc>
          <w:tcPr>
            <w:tcW w:w="1417" w:type="dxa"/>
            <w:vAlign w:val="center"/>
          </w:tcPr>
          <w:p>
            <w:pPr>
              <w:jc w:val="center"/>
              <w:rPr>
                <w:b/>
                <w:sz w:val="24"/>
                <w:szCs w:val="24"/>
              </w:rPr>
            </w:pPr>
            <w:r>
              <w:rPr>
                <w:rFonts w:hint="eastAsia"/>
                <w:b/>
                <w:sz w:val="24"/>
                <w:szCs w:val="24"/>
              </w:rPr>
              <w:t>归属模块</w:t>
            </w:r>
          </w:p>
        </w:tc>
        <w:tc>
          <w:tcPr>
            <w:tcW w:w="2127" w:type="dxa"/>
            <w:vAlign w:val="center"/>
          </w:tcPr>
          <w:p>
            <w:pPr>
              <w:jc w:val="center"/>
              <w:rPr>
                <w:b/>
                <w:sz w:val="24"/>
                <w:szCs w:val="24"/>
              </w:rPr>
            </w:pPr>
            <w:r>
              <w:rPr>
                <w:rFonts w:hint="eastAsia"/>
                <w:b/>
                <w:sz w:val="24"/>
                <w:szCs w:val="24"/>
              </w:rPr>
              <w:t>开课学期</w:t>
            </w:r>
          </w:p>
        </w:tc>
        <w:tc>
          <w:tcPr>
            <w:tcW w:w="2126" w:type="dxa"/>
            <w:vAlign w:val="center"/>
          </w:tcPr>
          <w:p>
            <w:pPr>
              <w:jc w:val="center"/>
              <w:rPr>
                <w:b/>
                <w:sz w:val="24"/>
                <w:szCs w:val="24"/>
              </w:rPr>
            </w:pPr>
            <w:r>
              <w:rPr>
                <w:rFonts w:hint="eastAsia"/>
                <w:b/>
                <w:sz w:val="24"/>
                <w:szCs w:val="24"/>
              </w:rPr>
              <w:t>授课教师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418" w:type="dxa"/>
            <w:vAlign w:val="center"/>
          </w:tcPr>
          <w:p>
            <w:pPr>
              <w:jc w:val="center"/>
              <w:rPr>
                <w:rFonts w:ascii="楷体" w:hAnsi="楷体" w:eastAsia="楷体"/>
                <w:sz w:val="24"/>
                <w:szCs w:val="24"/>
              </w:rPr>
            </w:pPr>
            <w:bookmarkStart w:id="0" w:name="_GoBack"/>
            <w:r>
              <w:rPr>
                <w:rFonts w:hint="eastAsia" w:ascii="楷体" w:hAnsi="楷体" w:eastAsia="楷体"/>
                <w:sz w:val="24"/>
                <w:szCs w:val="24"/>
              </w:rPr>
              <w:t>城市生态与保护</w:t>
            </w:r>
            <w:bookmarkEnd w:id="0"/>
          </w:p>
        </w:tc>
        <w:tc>
          <w:tcPr>
            <w:tcW w:w="850" w:type="dxa"/>
            <w:vAlign w:val="center"/>
          </w:tcPr>
          <w:p>
            <w:pPr>
              <w:jc w:val="center"/>
              <w:rPr>
                <w:rFonts w:ascii="楷体" w:hAnsi="楷体" w:eastAsia="楷体"/>
                <w:sz w:val="24"/>
                <w:szCs w:val="24"/>
              </w:rPr>
            </w:pPr>
            <w:r>
              <w:rPr>
                <w:rFonts w:hint="eastAsia" w:ascii="楷体" w:hAnsi="楷体" w:eastAsia="楷体"/>
                <w:sz w:val="24"/>
                <w:szCs w:val="24"/>
              </w:rPr>
              <w:t>1</w:t>
            </w:r>
          </w:p>
        </w:tc>
        <w:tc>
          <w:tcPr>
            <w:tcW w:w="851" w:type="dxa"/>
            <w:vAlign w:val="center"/>
          </w:tcPr>
          <w:p>
            <w:pPr>
              <w:jc w:val="center"/>
              <w:rPr>
                <w:rFonts w:ascii="楷体" w:hAnsi="楷体" w:eastAsia="楷体"/>
                <w:sz w:val="24"/>
                <w:szCs w:val="24"/>
              </w:rPr>
            </w:pPr>
            <w:r>
              <w:rPr>
                <w:rFonts w:hint="eastAsia" w:ascii="楷体" w:hAnsi="楷体" w:eastAsia="楷体"/>
                <w:sz w:val="24"/>
                <w:szCs w:val="24"/>
              </w:rPr>
              <w:t>16</w:t>
            </w:r>
          </w:p>
        </w:tc>
        <w:tc>
          <w:tcPr>
            <w:tcW w:w="1417" w:type="dxa"/>
            <w:vAlign w:val="center"/>
          </w:tcPr>
          <w:p>
            <w:pPr>
              <w:jc w:val="center"/>
              <w:rPr>
                <w:rFonts w:ascii="楷体" w:hAnsi="楷体" w:eastAsia="楷体"/>
                <w:sz w:val="24"/>
                <w:szCs w:val="24"/>
              </w:rPr>
            </w:pPr>
            <w:r>
              <w:rPr>
                <w:rFonts w:hint="eastAsia" w:ascii="楷体" w:hAnsi="楷体" w:eastAsia="楷体"/>
                <w:sz w:val="24"/>
                <w:szCs w:val="24"/>
              </w:rPr>
              <w:t>自然科学</w:t>
            </w:r>
          </w:p>
        </w:tc>
        <w:tc>
          <w:tcPr>
            <w:tcW w:w="2127" w:type="dxa"/>
            <w:vAlign w:val="center"/>
          </w:tcPr>
          <w:p>
            <w:pPr>
              <w:jc w:val="center"/>
              <w:rPr>
                <w:rFonts w:ascii="楷体" w:hAnsi="楷体" w:eastAsia="楷体"/>
                <w:sz w:val="24"/>
                <w:szCs w:val="24"/>
              </w:rPr>
            </w:pPr>
            <w:r>
              <w:rPr>
                <w:rFonts w:hint="eastAsia" w:ascii="楷体" w:hAnsi="楷体" w:eastAsia="楷体"/>
                <w:sz w:val="24"/>
                <w:szCs w:val="24"/>
              </w:rPr>
              <w:t>不限</w:t>
            </w:r>
          </w:p>
        </w:tc>
        <w:tc>
          <w:tcPr>
            <w:tcW w:w="2126" w:type="dxa"/>
            <w:vAlign w:val="center"/>
          </w:tcPr>
          <w:p>
            <w:pPr>
              <w:jc w:val="center"/>
              <w:rPr>
                <w:rFonts w:ascii="楷体" w:hAnsi="楷体" w:eastAsia="楷体"/>
                <w:sz w:val="24"/>
                <w:szCs w:val="24"/>
              </w:rPr>
            </w:pPr>
            <w:r>
              <w:rPr>
                <w:rFonts w:hint="eastAsia" w:ascii="楷体" w:hAnsi="楷体" w:eastAsia="楷体"/>
                <w:sz w:val="24"/>
                <w:szCs w:val="24"/>
              </w:rPr>
              <w:t>黄梅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jc w:val="center"/>
              <w:rPr>
                <w:b/>
                <w:sz w:val="24"/>
                <w:szCs w:val="24"/>
              </w:rPr>
            </w:pPr>
            <w:r>
              <w:rPr>
                <w:rFonts w:hint="eastAsia"/>
                <w:b/>
                <w:sz w:val="24"/>
                <w:szCs w:val="24"/>
              </w:rPr>
              <w:t>课程</w:t>
            </w:r>
          </w:p>
          <w:p>
            <w:pPr>
              <w:jc w:val="center"/>
              <w:rPr>
                <w:rFonts w:ascii="楷体" w:hAnsi="楷体" w:eastAsia="楷体"/>
                <w:b/>
                <w:sz w:val="24"/>
                <w:szCs w:val="24"/>
              </w:rPr>
            </w:pPr>
            <w:r>
              <w:rPr>
                <w:rFonts w:hint="eastAsia"/>
                <w:b/>
                <w:sz w:val="24"/>
                <w:szCs w:val="24"/>
              </w:rPr>
              <w:t>主要内容</w:t>
            </w:r>
          </w:p>
        </w:tc>
        <w:tc>
          <w:tcPr>
            <w:tcW w:w="7371" w:type="dxa"/>
            <w:gridSpan w:val="5"/>
            <w:vAlign w:val="center"/>
          </w:tcPr>
          <w:p>
            <w:pPr>
              <w:ind w:firstLine="360" w:firstLineChars="150"/>
              <w:jc w:val="left"/>
              <w:rPr>
                <w:rFonts w:ascii="楷体" w:hAnsi="楷体" w:eastAsia="楷体"/>
                <w:sz w:val="24"/>
                <w:szCs w:val="24"/>
              </w:rPr>
            </w:pPr>
            <w:r>
              <w:rPr>
                <w:rFonts w:ascii="楷体" w:hAnsi="楷体" w:eastAsia="楷体"/>
                <w:sz w:val="24"/>
                <w:szCs w:val="24"/>
              </w:rPr>
              <w:t xml:space="preserve">本课程以生态学原理为主线, </w:t>
            </w:r>
            <w:r>
              <w:rPr>
                <w:rFonts w:hint="eastAsia" w:ascii="楷体" w:hAnsi="楷体" w:eastAsia="楷体"/>
                <w:sz w:val="24"/>
                <w:szCs w:val="24"/>
              </w:rPr>
              <w:t>介绍</w:t>
            </w:r>
            <w:r>
              <w:rPr>
                <w:rFonts w:ascii="楷体" w:hAnsi="楷体" w:eastAsia="楷体"/>
                <w:sz w:val="24"/>
                <w:szCs w:val="24"/>
              </w:rPr>
              <w:t>城市生态系统的构成及特征、结构和功能、城市生态系统的分析和评价、以及城市生态建设与调控。同时</w:t>
            </w:r>
            <w:r>
              <w:rPr>
                <w:rFonts w:hint="eastAsia" w:ascii="楷体" w:hAnsi="楷体" w:eastAsia="楷体"/>
                <w:sz w:val="24"/>
                <w:szCs w:val="24"/>
              </w:rPr>
              <w:t>结合案例分析和课程实践</w:t>
            </w:r>
            <w:r>
              <w:rPr>
                <w:rFonts w:ascii="楷体" w:hAnsi="楷体" w:eastAsia="楷体"/>
                <w:sz w:val="24"/>
                <w:szCs w:val="24"/>
              </w:rPr>
              <w:t>，引导学生分析和讨论城市生态环境的热点问题，</w:t>
            </w:r>
            <w:r>
              <w:rPr>
                <w:rFonts w:hint="eastAsia" w:ascii="楷体" w:hAnsi="楷体" w:eastAsia="楷体"/>
                <w:sz w:val="24"/>
                <w:szCs w:val="24"/>
              </w:rPr>
              <w:t>关注并参与城市生态环境保护的实践，</w:t>
            </w:r>
            <w:r>
              <w:rPr>
                <w:rFonts w:ascii="楷体" w:hAnsi="楷体" w:eastAsia="楷体"/>
                <w:sz w:val="24"/>
                <w:szCs w:val="24"/>
              </w:rPr>
              <w:t>从多学科交叉的角度唤起不同专业同学对保护城市生态环境的重视，</w:t>
            </w:r>
            <w:r>
              <w:rPr>
                <w:rFonts w:hint="eastAsia" w:ascii="楷体" w:hAnsi="楷体" w:eastAsia="楷体"/>
                <w:sz w:val="24"/>
                <w:szCs w:val="24"/>
              </w:rPr>
              <w:t>始终坚持</w:t>
            </w:r>
            <w:r>
              <w:rPr>
                <w:rFonts w:ascii="楷体" w:hAnsi="楷体" w:eastAsia="楷体"/>
                <w:sz w:val="24"/>
                <w:szCs w:val="24"/>
              </w:rPr>
              <w:t>以保持城市优良生态环境作为城市开发建设的前提与准则。</w:t>
            </w:r>
          </w:p>
          <w:p>
            <w:pPr>
              <w:ind w:firstLine="360" w:firstLineChars="150"/>
              <w:jc w:val="left"/>
              <w:rPr>
                <w:rFonts w:ascii="楷体" w:hAnsi="楷体" w:eastAsia="楷体"/>
                <w:sz w:val="24"/>
                <w:szCs w:val="24"/>
              </w:rPr>
            </w:pPr>
            <w:r>
              <w:rPr>
                <w:rFonts w:hint="eastAsia" w:ascii="楷体" w:hAnsi="楷体" w:eastAsia="楷体"/>
                <w:sz w:val="24"/>
                <w:szCs w:val="24"/>
              </w:rPr>
              <w:t>理论教学（6课时）：</w:t>
            </w:r>
          </w:p>
          <w:p>
            <w:pPr>
              <w:numPr>
                <w:ilvl w:val="0"/>
                <w:numId w:val="1"/>
              </w:numPr>
              <w:ind w:firstLine="360" w:firstLineChars="150"/>
              <w:jc w:val="left"/>
              <w:rPr>
                <w:rFonts w:ascii="楷体" w:hAnsi="楷体" w:eastAsia="楷体"/>
                <w:sz w:val="24"/>
                <w:szCs w:val="24"/>
              </w:rPr>
            </w:pPr>
            <w:r>
              <w:rPr>
                <w:rFonts w:hint="eastAsia" w:ascii="楷体" w:hAnsi="楷体" w:eastAsia="楷体"/>
                <w:sz w:val="24"/>
                <w:szCs w:val="24"/>
              </w:rPr>
              <w:t>城市</w:t>
            </w:r>
            <w:r>
              <w:rPr>
                <w:rFonts w:ascii="楷体" w:hAnsi="楷体" w:eastAsia="楷体"/>
                <w:sz w:val="24"/>
                <w:szCs w:val="24"/>
              </w:rPr>
              <w:t>市生态系统的构成及特征、结构和功能</w:t>
            </w:r>
            <w:r>
              <w:rPr>
                <w:rFonts w:hint="eastAsia" w:ascii="楷体" w:hAnsi="楷体" w:eastAsia="楷体"/>
                <w:sz w:val="24"/>
                <w:szCs w:val="24"/>
              </w:rPr>
              <w:t>，2课时</w:t>
            </w:r>
          </w:p>
          <w:p>
            <w:pPr>
              <w:numPr>
                <w:ilvl w:val="0"/>
                <w:numId w:val="1"/>
              </w:numPr>
              <w:ind w:firstLine="360" w:firstLineChars="150"/>
              <w:jc w:val="left"/>
              <w:rPr>
                <w:rFonts w:ascii="楷体" w:hAnsi="楷体" w:eastAsia="楷体"/>
                <w:sz w:val="24"/>
                <w:szCs w:val="24"/>
              </w:rPr>
            </w:pPr>
            <w:r>
              <w:rPr>
                <w:rFonts w:ascii="楷体" w:hAnsi="楷体" w:eastAsia="楷体"/>
                <w:sz w:val="24"/>
                <w:szCs w:val="24"/>
              </w:rPr>
              <w:t>城市生态系统的分析和评价</w:t>
            </w:r>
            <w:r>
              <w:rPr>
                <w:rFonts w:hint="eastAsia" w:ascii="楷体" w:hAnsi="楷体" w:eastAsia="楷体"/>
                <w:sz w:val="24"/>
                <w:szCs w:val="24"/>
              </w:rPr>
              <w:t>，2课时</w:t>
            </w:r>
          </w:p>
          <w:p>
            <w:pPr>
              <w:numPr>
                <w:ilvl w:val="0"/>
                <w:numId w:val="1"/>
              </w:numPr>
              <w:ind w:firstLine="360" w:firstLineChars="150"/>
              <w:jc w:val="left"/>
              <w:rPr>
                <w:rFonts w:ascii="楷体" w:hAnsi="楷体" w:eastAsia="楷体"/>
                <w:sz w:val="24"/>
                <w:szCs w:val="24"/>
              </w:rPr>
            </w:pPr>
            <w:r>
              <w:rPr>
                <w:rFonts w:ascii="楷体" w:hAnsi="楷体" w:eastAsia="楷体"/>
                <w:sz w:val="24"/>
                <w:szCs w:val="24"/>
              </w:rPr>
              <w:t>城市生态建设与调控</w:t>
            </w:r>
            <w:r>
              <w:rPr>
                <w:rFonts w:hint="eastAsia" w:ascii="楷体" w:hAnsi="楷体" w:eastAsia="楷体"/>
                <w:sz w:val="24"/>
                <w:szCs w:val="24"/>
              </w:rPr>
              <w:t>，2课时</w:t>
            </w:r>
          </w:p>
          <w:p>
            <w:pPr>
              <w:ind w:firstLine="240" w:firstLineChars="100"/>
              <w:jc w:val="left"/>
              <w:rPr>
                <w:rFonts w:ascii="楷体" w:hAnsi="楷体" w:eastAsia="楷体"/>
                <w:sz w:val="24"/>
                <w:szCs w:val="24"/>
              </w:rPr>
            </w:pPr>
            <w:r>
              <w:rPr>
                <w:rFonts w:hint="eastAsia" w:ascii="楷体" w:hAnsi="楷体" w:eastAsia="楷体"/>
                <w:sz w:val="24"/>
                <w:szCs w:val="24"/>
              </w:rPr>
              <w:t>专题讲座（6课时）：</w:t>
            </w:r>
          </w:p>
          <w:p>
            <w:pPr>
              <w:ind w:firstLine="480" w:firstLineChars="200"/>
              <w:jc w:val="left"/>
              <w:rPr>
                <w:rFonts w:ascii="楷体" w:hAnsi="楷体" w:eastAsia="楷体"/>
                <w:sz w:val="24"/>
                <w:szCs w:val="24"/>
              </w:rPr>
            </w:pPr>
            <w:r>
              <w:rPr>
                <w:rFonts w:hint="eastAsia" w:ascii="楷体" w:hAnsi="楷体" w:eastAsia="楷体"/>
                <w:sz w:val="24"/>
                <w:szCs w:val="24"/>
              </w:rPr>
              <w:t>校园生态系统、城市人居环境、城市垃圾分类、城市生物多样性保护、低碳城市，海绵城市。</w:t>
            </w:r>
          </w:p>
          <w:p>
            <w:pPr>
              <w:ind w:firstLine="360" w:firstLineChars="150"/>
              <w:jc w:val="left"/>
              <w:rPr>
                <w:rFonts w:ascii="楷体" w:hAnsi="楷体" w:eastAsia="楷体"/>
                <w:sz w:val="24"/>
                <w:szCs w:val="24"/>
              </w:rPr>
            </w:pPr>
            <w:r>
              <w:rPr>
                <w:rFonts w:hint="eastAsia" w:ascii="楷体" w:hAnsi="楷体" w:eastAsia="楷体"/>
                <w:sz w:val="24"/>
                <w:szCs w:val="24"/>
              </w:rPr>
              <w:t>课程实践（4）：</w:t>
            </w:r>
          </w:p>
          <w:p>
            <w:pPr>
              <w:ind w:firstLine="360" w:firstLineChars="150"/>
              <w:jc w:val="left"/>
              <w:rPr>
                <w:rFonts w:ascii="楷体" w:hAnsi="楷体" w:eastAsia="楷体"/>
                <w:sz w:val="24"/>
                <w:szCs w:val="24"/>
              </w:rPr>
            </w:pPr>
            <w:r>
              <w:rPr>
                <w:rFonts w:hint="eastAsia" w:ascii="楷体" w:hAnsi="楷体" w:eastAsia="楷体"/>
                <w:sz w:val="24"/>
                <w:szCs w:val="24"/>
              </w:rPr>
              <w:t>结合专题讲座的主题以小组为单位开展城市生态系统调查与分析</w:t>
            </w:r>
          </w:p>
          <w:p>
            <w:pPr>
              <w:jc w:val="left"/>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jc w:val="center"/>
              <w:rPr>
                <w:rFonts w:ascii="楷体" w:hAnsi="楷体" w:eastAsia="楷体"/>
                <w:b/>
                <w:sz w:val="24"/>
                <w:szCs w:val="24"/>
              </w:rPr>
            </w:pPr>
            <w:r>
              <w:rPr>
                <w:rFonts w:hint="eastAsia"/>
                <w:b/>
                <w:sz w:val="24"/>
                <w:szCs w:val="24"/>
              </w:rPr>
              <w:t>教学目标及教学方法</w:t>
            </w:r>
          </w:p>
        </w:tc>
        <w:tc>
          <w:tcPr>
            <w:tcW w:w="7371" w:type="dxa"/>
            <w:gridSpan w:val="5"/>
            <w:vAlign w:val="center"/>
          </w:tcPr>
          <w:p>
            <w:pPr>
              <w:ind w:firstLine="480" w:firstLineChars="200"/>
              <w:jc w:val="left"/>
              <w:rPr>
                <w:rFonts w:ascii="楷体" w:hAnsi="楷体" w:eastAsia="楷体"/>
                <w:sz w:val="24"/>
                <w:szCs w:val="24"/>
              </w:rPr>
            </w:pPr>
            <w:r>
              <w:rPr>
                <w:rFonts w:ascii="楷体" w:hAnsi="楷体" w:eastAsia="楷体"/>
                <w:sz w:val="24"/>
                <w:szCs w:val="24"/>
              </w:rPr>
              <w:t>依据学生的专业背景和选课目的，重视本科学生综合知识面的扩展，科学素养的提升以及知识结构优化，引导学生用辩证的观点去思考城市的生态环境问题，</w:t>
            </w:r>
            <w:r>
              <w:rPr>
                <w:rFonts w:hint="eastAsia" w:ascii="楷体" w:hAnsi="楷体" w:eastAsia="楷体"/>
                <w:sz w:val="24"/>
                <w:szCs w:val="24"/>
              </w:rPr>
              <w:t>关注和参与城市生态环境保护的实践。本课程也为不同专业背景的大学生接受生态环境教育提供一种途径，更好地在财经类高校开展和推动生态环境素质教育。</w:t>
            </w:r>
          </w:p>
          <w:p>
            <w:pPr>
              <w:ind w:firstLine="480" w:firstLineChars="200"/>
              <w:jc w:val="left"/>
              <w:rPr>
                <w:rFonts w:ascii="楷体" w:hAnsi="楷体" w:eastAsia="楷体"/>
                <w:sz w:val="24"/>
                <w:szCs w:val="24"/>
              </w:rPr>
            </w:pPr>
            <w:r>
              <w:rPr>
                <w:rFonts w:hint="eastAsia" w:ascii="楷体" w:hAnsi="楷体" w:eastAsia="楷体"/>
                <w:sz w:val="24"/>
                <w:szCs w:val="24"/>
              </w:rPr>
              <w:t>理论部分在课堂讲授的基础上结合城市生态环境热点问题进行案例分析和讨论；实践部分将在专题讲座的基础开展城市生态环境调研与实践</w:t>
            </w:r>
          </w:p>
          <w:p>
            <w:pPr>
              <w:ind w:firstLine="480" w:firstLineChars="200"/>
              <w:jc w:val="left"/>
              <w:rPr>
                <w:rFonts w:ascii="楷体" w:hAnsi="楷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jc w:val="center"/>
              <w:rPr>
                <w:rFonts w:ascii="楷体" w:hAnsi="楷体" w:eastAsia="楷体"/>
                <w:b/>
                <w:sz w:val="24"/>
                <w:szCs w:val="24"/>
              </w:rPr>
            </w:pPr>
            <w:r>
              <w:rPr>
                <w:rFonts w:hint="eastAsia"/>
                <w:b/>
                <w:sz w:val="24"/>
                <w:szCs w:val="24"/>
              </w:rPr>
              <w:t>考核要求</w:t>
            </w:r>
          </w:p>
        </w:tc>
        <w:tc>
          <w:tcPr>
            <w:tcW w:w="7371" w:type="dxa"/>
            <w:gridSpan w:val="5"/>
            <w:vAlign w:val="center"/>
          </w:tcPr>
          <w:p>
            <w:pPr>
              <w:jc w:val="left"/>
              <w:rPr>
                <w:rFonts w:ascii="楷体" w:hAnsi="楷体" w:eastAsia="楷体"/>
                <w:sz w:val="24"/>
                <w:szCs w:val="24"/>
              </w:rPr>
            </w:pPr>
          </w:p>
          <w:p>
            <w:pPr>
              <w:jc w:val="left"/>
              <w:rPr>
                <w:rFonts w:ascii="楷体" w:hAnsi="楷体" w:eastAsia="楷体"/>
                <w:sz w:val="24"/>
                <w:szCs w:val="24"/>
              </w:rPr>
            </w:pPr>
            <w:r>
              <w:rPr>
                <w:rFonts w:hint="eastAsia" w:ascii="楷体" w:hAnsi="楷体" w:eastAsia="楷体"/>
                <w:sz w:val="24"/>
                <w:szCs w:val="24"/>
              </w:rPr>
              <w:t>（1）本课程为考查科目</w:t>
            </w:r>
          </w:p>
          <w:p>
            <w:pPr>
              <w:jc w:val="left"/>
              <w:rPr>
                <w:rFonts w:ascii="楷体" w:hAnsi="楷体" w:eastAsia="楷体"/>
                <w:sz w:val="24"/>
                <w:szCs w:val="24"/>
              </w:rPr>
            </w:pPr>
            <w:r>
              <w:rPr>
                <w:rFonts w:hint="eastAsia" w:ascii="楷体" w:hAnsi="楷体" w:eastAsia="楷体"/>
                <w:sz w:val="24"/>
                <w:szCs w:val="24"/>
              </w:rPr>
              <w:t>（2）平时综合考核占总评成绩的50%，主要根据学生出勤情况、作业以及课堂表现情况等方面来确定；调研报告及小组PPT设计及展示占总评成绩的50%。</w:t>
            </w:r>
          </w:p>
          <w:p>
            <w:pPr>
              <w:jc w:val="left"/>
              <w:rPr>
                <w:rFonts w:ascii="楷体" w:hAnsi="楷体" w:eastAsia="楷体"/>
                <w:sz w:val="24"/>
                <w:szCs w:val="24"/>
              </w:rPr>
            </w:pPr>
          </w:p>
          <w:p>
            <w:pPr>
              <w:jc w:val="left"/>
              <w:rPr>
                <w:rFonts w:ascii="楷体" w:hAnsi="楷体" w:eastAsia="楷体"/>
                <w:sz w:val="24"/>
                <w:szCs w:val="24"/>
              </w:rPr>
            </w:pPr>
          </w:p>
        </w:tc>
      </w:tr>
    </w:tbl>
    <w:p>
      <w:pPr>
        <w:ind w:firstLine="360" w:firstLineChars="150"/>
        <w:jc w:val="left"/>
        <w:rPr>
          <w:rFonts w:ascii="楷体" w:hAnsi="楷体" w:eastAsia="楷体"/>
          <w:sz w:val="24"/>
          <w:szCs w:val="24"/>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6C78EE"/>
    <w:multiLevelType w:val="singleLevel"/>
    <w:tmpl w:val="A96C78E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76CAA"/>
    <w:rsid w:val="0037605D"/>
    <w:rsid w:val="00576CAA"/>
    <w:rsid w:val="006C5486"/>
    <w:rsid w:val="00732242"/>
    <w:rsid w:val="009B3E41"/>
    <w:rsid w:val="00AF0F2F"/>
    <w:rsid w:val="00D25B3A"/>
    <w:rsid w:val="00F92AD1"/>
    <w:rsid w:val="00FC4D97"/>
    <w:rsid w:val="235976EE"/>
    <w:rsid w:val="50496220"/>
    <w:rsid w:val="51CA350E"/>
    <w:rsid w:val="73E400BC"/>
    <w:rsid w:val="77B22601"/>
    <w:rsid w:val="7C821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sz w:val="18"/>
      <w:szCs w:val="18"/>
    </w:rPr>
  </w:style>
  <w:style w:type="character" w:customStyle="1" w:styleId="7">
    <w:name w:val="页眉 Char"/>
    <w:basedOn w:val="5"/>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106</Words>
  <Characters>609</Characters>
  <Lines>5</Lines>
  <Paragraphs>1</Paragraphs>
  <TotalTime>6</TotalTime>
  <ScaleCrop>false</ScaleCrop>
  <LinksUpToDate>false</LinksUpToDate>
  <CharactersWithSpaces>714</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2019-11-23T00:06:00Z</dcterms:created>
  <dc:creator>Administrator</dc:creator>
  <cp:lastModifiedBy>Administrator</cp:lastModifiedBy>
  <dcterms:modified xsi:type="dcterms:W3CDTF">2019-11-29T05:42:22Z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