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通识课程简介</w:t>
      </w:r>
    </w:p>
    <w:tbl>
      <w:tblPr>
        <w:tblStyle w:val="2"/>
        <w:tblW w:w="0" w:type="auto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50"/>
        <w:gridCol w:w="851"/>
        <w:gridCol w:w="1417"/>
        <w:gridCol w:w="2127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学分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学时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归属模块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开课学期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授课教师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bookmarkStart w:id="0" w:name="_GoBack"/>
            <w:r>
              <w:rPr>
                <w:rFonts w:hint="eastAsia" w:ascii="楷体" w:hAnsi="楷体" w:eastAsia="楷体"/>
                <w:sz w:val="24"/>
                <w:szCs w:val="24"/>
              </w:rPr>
              <w:t>品牌思维</w:t>
            </w:r>
            <w:bookmarkEnd w:id="0"/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16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经济管理与数学思维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第6、7学期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卢艳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主要内容</w:t>
            </w:r>
          </w:p>
        </w:tc>
        <w:tc>
          <w:tcPr>
            <w:tcW w:w="7371" w:type="dxa"/>
            <w:gridSpan w:val="5"/>
            <w:noWrap w:val="0"/>
            <w:vAlign w:val="center"/>
          </w:tcPr>
          <w:p>
            <w:pPr>
              <w:ind w:firstLine="360" w:firstLineChars="15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本课程为通识教育选修课（1学分，16课时），课程紧密联系商业品牌与个人品牌案例，从品牌思维角度来探寻品牌背后的本质，透析新时代品牌成败的原因，从而构建起企业品牌、个人品牌两个方面的品牌思维。主要内容有：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（1）</w:t>
            </w:r>
            <w:r>
              <w:rPr>
                <w:rFonts w:ascii="楷体" w:hAnsi="楷体" w:eastAsia="楷体"/>
                <w:sz w:val="24"/>
                <w:szCs w:val="24"/>
              </w:rPr>
              <w:t>品牌营销简史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（2课时）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（2）品牌化思维（2课时）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（3）顶级品牌的奥秘（七大原理）（6课时）</w:t>
            </w: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（4）个体品牌（4课时）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（5）网红品牌思维（2课时）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教学目标及教学方法</w:t>
            </w:r>
          </w:p>
        </w:tc>
        <w:tc>
          <w:tcPr>
            <w:tcW w:w="7371" w:type="dxa"/>
            <w:gridSpan w:val="5"/>
            <w:noWrap w:val="0"/>
            <w:vAlign w:val="center"/>
          </w:tcPr>
          <w:p>
            <w:pPr>
              <w:pStyle w:val="4"/>
              <w:tabs>
                <w:tab w:val="left" w:pos="790"/>
                <w:tab w:val="left" w:pos="3670"/>
              </w:tabs>
              <w:spacing w:before="182" w:line="300" w:lineRule="exact"/>
              <w:ind w:firstLine="240" w:firstLineChars="100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bidi="ar-SA"/>
              </w:rPr>
              <w:t>通过本课程的学习，理解《品牌思维》中的基本思想、基本理论、基本方法；学会深入分析思考商业中的品牌现象；学会个人品牌创建和打造的思维方法。本门课程结合近5年德、美、瑞典、中国等国最新专家思想，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教学方法主要有课堂讲授、案例教学、</w:t>
            </w:r>
            <w:r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bidi="ar-SA"/>
              </w:rPr>
              <w:t>分组辩论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、翻转课堂等教学形式。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考核要求</w:t>
            </w:r>
          </w:p>
        </w:tc>
        <w:tc>
          <w:tcPr>
            <w:tcW w:w="7371" w:type="dxa"/>
            <w:gridSpan w:val="5"/>
            <w:noWrap w:val="0"/>
            <w:vAlign w:val="center"/>
          </w:tcPr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（1）本课程为考查科目</w:t>
            </w: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（2）平时综合考核占总评成绩的50%，主要根据学生出勤情况、课堂表现情况等方面来确定；品牌案例研究或个人品牌设计占总评成绩的50%。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CC0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  <w:pPr>
      <w:autoSpaceDE w:val="0"/>
      <w:autoSpaceDN w:val="0"/>
      <w:jc w:val="left"/>
    </w:pPr>
    <w:rPr>
      <w:rFonts w:ascii="微软雅黑" w:hAnsi="微软雅黑" w:eastAsia="微软雅黑" w:cs="微软雅黑"/>
      <w:kern w:val="0"/>
      <w:sz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2019-11-29T05:24:34Z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