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b/>
          <w:color w:val="auto"/>
          <w:sz w:val="36"/>
          <w:szCs w:val="36"/>
        </w:rPr>
      </w:pPr>
      <w:r>
        <w:rPr>
          <w:rFonts w:hint="eastAsia" w:ascii="黑体" w:hAnsi="黑体" w:eastAsia="黑体"/>
          <w:b/>
          <w:color w:val="auto"/>
          <w:sz w:val="36"/>
          <w:szCs w:val="36"/>
        </w:rPr>
        <w:t>《中国旅游文化》通识教育</w:t>
      </w:r>
      <w:r>
        <w:rPr>
          <w:rFonts w:ascii="黑体" w:hAnsi="黑体" w:eastAsia="黑体"/>
          <w:b/>
          <w:color w:val="auto"/>
          <w:sz w:val="36"/>
          <w:szCs w:val="36"/>
        </w:rPr>
        <w:t>选修课程规划书</w:t>
      </w:r>
    </w:p>
    <w:p>
      <w:pPr>
        <w:adjustRightInd w:val="0"/>
        <w:snapToGrid w:val="0"/>
        <w:spacing w:line="360" w:lineRule="auto"/>
        <w:ind w:left="0" w:leftChars="0" w:firstLine="0" w:firstLineChars="0"/>
        <w:rPr>
          <w:rFonts w:ascii="宋体" w:hAnsi="宋体"/>
          <w:color w:val="auto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auto"/>
          <w:sz w:val="28"/>
          <w:szCs w:val="28"/>
          <w:lang w:eastAsia="zh-CN"/>
        </w:rPr>
        <w:t>1</w:t>
      </w:r>
      <w:r>
        <w:rPr>
          <w:rFonts w:hint="eastAsia" w:ascii="宋体" w:hAnsi="宋体"/>
          <w:b/>
          <w:color w:val="auto"/>
          <w:sz w:val="28"/>
          <w:szCs w:val="28"/>
        </w:rPr>
        <w:t>、</w:t>
      </w:r>
      <w:r>
        <w:rPr>
          <w:rFonts w:hint="eastAsia" w:ascii="宋体" w:hAnsi="宋体"/>
          <w:b/>
          <w:color w:val="auto"/>
          <w:sz w:val="28"/>
          <w:szCs w:val="28"/>
          <w:lang w:eastAsia="zh-CN"/>
        </w:rPr>
        <w:t>中国旅游文化课程简介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</w:rPr>
        <w:t>《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中国旅游文化</w:t>
      </w:r>
      <w:r>
        <w:rPr>
          <w:rFonts w:hint="eastAsia" w:ascii="宋体" w:hAnsi="宋体"/>
          <w:color w:val="auto"/>
          <w:sz w:val="28"/>
          <w:szCs w:val="28"/>
        </w:rPr>
        <w:t>》课程的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开设是为了让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学生了解我国旅游文化构成、形式、分布、演变等特征及规律，有助于学生厘清我国各类旅游文化资源的价值和魅力，提高学生自身的旅游知识、文化修养、专业素养，提升学生旅游资源开发能力和文化鉴赏能力。本课程共1学分、16学时，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授课教师具有多年一线教学经验，在教学方法上将采用讲授法、案例教学、多媒体教学等方法，并将充分利用信息技术优势，强化师生互动。</w:t>
      </w:r>
    </w:p>
    <w:p>
      <w:pPr>
        <w:adjustRightInd w:val="0"/>
        <w:snapToGrid w:val="0"/>
        <w:spacing w:line="360" w:lineRule="auto"/>
        <w:ind w:left="0" w:leftChars="0" w:firstLine="0" w:firstLineChars="0"/>
        <w:rPr>
          <w:rFonts w:hint="eastAsia" w:ascii="宋体" w:hAnsi="宋体"/>
          <w:color w:val="auto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360" w:lineRule="auto"/>
        <w:ind w:left="0" w:leftChars="0" w:firstLine="0" w:firstLineChars="0"/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lang w:val="en-US" w:eastAsia="zh-CN"/>
        </w:rPr>
        <w:t>附件：中国旅游文化课程简介表</w:t>
      </w:r>
    </w:p>
    <w:tbl>
      <w:tblPr>
        <w:tblStyle w:val="12"/>
        <w:tblW w:w="85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21"/>
        <w:gridCol w:w="1421"/>
        <w:gridCol w:w="1421"/>
        <w:gridCol w:w="1421"/>
        <w:gridCol w:w="1421"/>
        <w:gridCol w:w="1421"/>
      </w:tblGrid>
      <w:tr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numPr>
                <w:numId w:val="0"/>
              </w:numPr>
              <w:adjustRightInd w:val="0"/>
              <w:snapToGrid w:val="0"/>
              <w:spacing w:line="360" w:lineRule="auto"/>
              <w:ind w:leftChars="0"/>
              <w:rPr>
                <w:rFonts w:hint="default" w:ascii="宋体" w:hAnsi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学分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学时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归属模块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开课学期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授课教师</w:t>
            </w:r>
          </w:p>
        </w:tc>
      </w:tr>
      <w:tr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中国旅游文化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vertAlign w:val="baseline"/>
                <w:lang w:val="en-US" w:eastAsia="zh-CN"/>
              </w:rPr>
              <w:t>世界文化与语言表达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vertAlign w:val="baseline"/>
                <w:lang w:val="en-US" w:eastAsia="zh-CN"/>
              </w:rPr>
              <w:t>1-7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vertAlign w:val="baseline"/>
                <w:lang w:val="en-US" w:eastAsia="zh-CN"/>
              </w:rPr>
              <w:t>王美霞</w:t>
            </w:r>
          </w:p>
        </w:tc>
      </w:tr>
      <w:tr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课程主要内容</w:t>
            </w:r>
          </w:p>
        </w:tc>
        <w:tc>
          <w:tcPr>
            <w:tcW w:w="71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  <w:t xml:space="preserve">    本课程共16学时，将具体介绍中国各类典型的旅游文化，主要内容如下：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  <w:t>第一章：中国旅游山水文化；（2课时）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  <w:t>第二章：</w:t>
            </w:r>
            <w:r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  <w:t>中国旅游建筑文化；（2课时）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  <w:t>第三章：</w:t>
            </w:r>
            <w:r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  <w:t>中国旅游园林文化；（2课时）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  <w:t>第四章：中国旅游宗教文化；（2课时）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  <w:t>第五章：中国旅游民俗文化；（2课时）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  <w:t>第六章：中国饮食文化；（2课时）</w:t>
            </w:r>
          </w:p>
          <w:p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  <w:t>第七章：中国其他艺术文化与旅游等。（4课时</w:t>
            </w:r>
            <w:bookmarkStart w:id="0" w:name="_GoBack"/>
            <w:bookmarkEnd w:id="0"/>
            <w:r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  <w:t>）</w:t>
            </w:r>
          </w:p>
        </w:tc>
      </w:tr>
      <w:tr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教学目标及教学方法</w:t>
            </w:r>
          </w:p>
        </w:tc>
        <w:tc>
          <w:tcPr>
            <w:tcW w:w="71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  <w:t xml:space="preserve">    本课程教学目标是使学生了解我国自然旅游资源文化意蕴、古代建筑文化、园林文化、宗教文化、民俗文化、饮食文化等基本概况；使学生熟悉我国历史文化内涵、中国人的山水审美意识、中国风水文化、中国民俗的基本特征、中国古典园林的艺术风格、中国饮食文化观等。这将</w:t>
            </w:r>
            <w:r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  <w:t>有助于学生厘清我国各类旅游文化资源的价值和魅力，提高学生自身的旅游知识、文化修养、专业素养，提升学生旅游资源开发能力和文化鉴赏能力。</w:t>
            </w:r>
          </w:p>
          <w:p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  <w:t xml:space="preserve">    本课程的教学方法采取讲授法、案例分析讨论、多媒体展示等多种方法结合。</w:t>
            </w:r>
          </w:p>
        </w:tc>
      </w:tr>
      <w:tr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考核要求</w:t>
            </w:r>
          </w:p>
        </w:tc>
        <w:tc>
          <w:tcPr>
            <w:tcW w:w="71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  <w:t>本课程为考查科目，平时成绩40分，期末成绩60分，总分100分。</w:t>
            </w:r>
          </w:p>
        </w:tc>
      </w:tr>
    </w:tbl>
    <w:p>
      <w:pPr>
        <w:adjustRightInd w:val="0"/>
        <w:snapToGrid w:val="0"/>
        <w:spacing w:line="360" w:lineRule="auto"/>
        <w:ind w:left="0" w:leftChars="0" w:firstLine="0" w:firstLineChars="0"/>
        <w:rPr>
          <w:rFonts w:ascii="宋体" w:hAnsi="宋体"/>
          <w:b/>
          <w:color w:val="auto"/>
          <w:sz w:val="28"/>
          <w:szCs w:val="28"/>
        </w:rPr>
      </w:pPr>
    </w:p>
    <w:p>
      <w:pPr>
        <w:ind w:left="480" w:leftChars="200" w:firstLine="560" w:firstLineChars="200"/>
        <w:rPr>
          <w:rStyle w:val="5"/>
          <w:rFonts w:hint="default" w:ascii="黑体" w:hAnsi="宋体" w:eastAsia="宋体"/>
          <w:bCs w:val="0"/>
          <w:color w:val="auto"/>
          <w:sz w:val="28"/>
          <w:szCs w:val="28"/>
          <w:lang w:val="en-US" w:eastAsia="zh-CN"/>
        </w:rPr>
      </w:pPr>
    </w:p>
    <w:p>
      <w:pPr>
        <w:ind w:left="480" w:leftChars="200" w:firstLine="562" w:firstLineChars="200"/>
        <w:rPr>
          <w:rStyle w:val="5"/>
          <w:rFonts w:ascii="黑体" w:hAnsi="宋体"/>
          <w:bCs w:val="0"/>
          <w:color w:val="auto"/>
          <w:sz w:val="28"/>
          <w:szCs w:val="28"/>
        </w:rPr>
      </w:pPr>
    </w:p>
    <w:p>
      <w:pPr>
        <w:ind w:left="480" w:leftChars="200" w:firstLine="562" w:firstLineChars="200"/>
        <w:rPr>
          <w:rStyle w:val="5"/>
          <w:rFonts w:hint="eastAsia" w:ascii="黑体" w:hAnsi="宋体" w:eastAsia="宋体"/>
          <w:bCs w:val="0"/>
          <w:color w:val="auto"/>
          <w:sz w:val="28"/>
          <w:szCs w:val="28"/>
          <w:lang w:val="en-US" w:eastAsia="zh-CN"/>
        </w:rPr>
      </w:pPr>
      <w:r>
        <w:rPr>
          <w:rStyle w:val="5"/>
          <w:rFonts w:hint="eastAsia" w:ascii="黑体" w:hAnsi="宋体"/>
          <w:bCs w:val="0"/>
          <w:color w:val="auto"/>
          <w:sz w:val="28"/>
          <w:szCs w:val="28"/>
        </w:rPr>
        <w:t xml:space="preserve">                                     </w:t>
      </w:r>
    </w:p>
    <w:p>
      <w:pPr>
        <w:ind w:left="480" w:leftChars="200" w:firstLine="562" w:firstLineChars="200"/>
        <w:rPr>
          <w:rStyle w:val="5"/>
          <w:rFonts w:ascii="黑体" w:hAnsi="宋体"/>
          <w:bCs w:val="0"/>
          <w:color w:val="auto"/>
          <w:sz w:val="28"/>
          <w:szCs w:val="28"/>
        </w:rPr>
      </w:pPr>
      <w:r>
        <w:rPr>
          <w:rStyle w:val="5"/>
          <w:rFonts w:hint="eastAsia" w:ascii="黑体" w:hAnsi="宋体"/>
          <w:bCs w:val="0"/>
          <w:color w:val="auto"/>
          <w:sz w:val="28"/>
          <w:szCs w:val="28"/>
        </w:rPr>
        <w:t xml:space="preserve">                                     </w:t>
      </w:r>
    </w:p>
    <w:p>
      <w:pPr>
        <w:ind w:left="480" w:leftChars="200" w:firstLine="562" w:firstLineChars="200"/>
        <w:rPr>
          <w:rStyle w:val="5"/>
          <w:rFonts w:ascii="黑体" w:hAnsi="宋体"/>
          <w:bCs w:val="0"/>
          <w:color w:val="auto"/>
          <w:sz w:val="28"/>
          <w:szCs w:val="28"/>
        </w:rPr>
      </w:pPr>
      <w:r>
        <w:rPr>
          <w:rStyle w:val="5"/>
          <w:rFonts w:hint="eastAsia" w:ascii="黑体" w:hAnsi="宋体"/>
          <w:bCs w:val="0"/>
          <w:color w:val="auto"/>
          <w:sz w:val="28"/>
          <w:szCs w:val="28"/>
        </w:rPr>
        <w:t xml:space="preserve">                                     </w:t>
      </w:r>
    </w:p>
    <w:p>
      <w:pPr>
        <w:rPr>
          <w:rFonts w:ascii="宋体" w:hAnsi="宋体"/>
          <w:color w:val="auto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00000000" w:usb1="00000000" w:usb2="00000029" w:usb3="00000000" w:csb0="200101FF" w:csb1="20280000"/>
  </w:font>
  <w:font w:name="Verdana">
    <w:panose1 w:val="020B0604030504040204"/>
    <w:charset w:val="00"/>
    <w:family w:val="auto"/>
    <w:pitch w:val="default"/>
    <w:sig w:usb0="00000000" w:usb1="00000000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473B00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93939"/>
      <w:u w:val="none"/>
    </w:rPr>
  </w:style>
  <w:style w:type="character" w:styleId="7">
    <w:name w:val="Emphasis"/>
    <w:basedOn w:val="4"/>
    <w:qFormat/>
    <w:uiPriority w:val="0"/>
    <w:rPr>
      <w:i/>
    </w:rPr>
  </w:style>
  <w:style w:type="character" w:styleId="8">
    <w:name w:val="Hyperlink"/>
    <w:basedOn w:val="4"/>
    <w:qFormat/>
    <w:uiPriority w:val="0"/>
    <w:rPr>
      <w:color w:val="393939"/>
      <w:u w:val="none"/>
    </w:rPr>
  </w:style>
  <w:style w:type="character" w:styleId="9">
    <w:name w:val="HTML Code"/>
    <w:basedOn w:val="4"/>
    <w:qFormat/>
    <w:uiPriority w:val="0"/>
    <w:rPr>
      <w:rFonts w:ascii="Courier New" w:hAnsi="Courier New" w:eastAsia="Courier New" w:cs="Courier New"/>
      <w:color w:val="DD1144"/>
      <w:sz w:val="18"/>
      <w:szCs w:val="18"/>
      <w:bdr w:val="single" w:color="E1E1E8" w:sz="6" w:space="0"/>
      <w:shd w:val="clear" w:fill="F7F7F9"/>
    </w:rPr>
  </w:style>
  <w:style w:type="character" w:styleId="10">
    <w:name w:val="HTML Cite"/>
    <w:basedOn w:val="4"/>
    <w:uiPriority w:val="0"/>
  </w:style>
  <w:style w:type="table" w:styleId="12">
    <w:name w:val="Table Grid"/>
    <w:basedOn w:val="11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13">
    <w:name w:val="页眉 Char"/>
    <w:basedOn w:val="4"/>
    <w:link w:val="3"/>
    <w:uiPriority w:val="0"/>
    <w:rPr>
      <w:color w:val="473B00"/>
      <w:kern w:val="2"/>
      <w:sz w:val="18"/>
      <w:szCs w:val="18"/>
    </w:rPr>
  </w:style>
  <w:style w:type="character" w:customStyle="1" w:styleId="14">
    <w:name w:val="页脚 Char"/>
    <w:basedOn w:val="4"/>
    <w:link w:val="2"/>
    <w:qFormat/>
    <w:uiPriority w:val="0"/>
    <w:rPr>
      <w:color w:val="473B00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</Words>
  <Characters>287</Characters>
  <Lines>2</Lines>
  <Paragraphs>1</Paragraphs>
  <TotalTime>0</TotalTime>
  <ScaleCrop>false</ScaleCrop>
  <LinksUpToDate>false</LinksUpToDate>
  <CharactersWithSpaces>336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2019-04-01T11:36:00Z</dcterms:created>
  <dc:creator>王颖梅</dc:creator>
  <cp:lastModifiedBy>iPad</cp:lastModifiedBy>
  <cp:lastPrinted>2016-05-17T22:45:00Z</cp:lastPrinted>
  <dcterms:modified xsi:type="dcterms:W3CDTF">2019-11-28T15:38:01Z</dcterms:modified>
  <dc:title>××××公共选修课程规划书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2052-10.2.0</vt:lpwstr>
  </property>
</Properties>
</file>