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仿宋_GB2312" w:hAnsi="仿宋_GB2312" w:eastAsia="仿宋_GB2312" w:cs="仿宋_GB2312"/>
          <w:sz w:val="28"/>
          <w:szCs w:val="28"/>
        </w:rPr>
      </w:pPr>
    </w:p>
    <w:p>
      <w:pPr>
        <w:widowControl/>
        <w:spacing w:line="600" w:lineRule="exact"/>
        <w:jc w:val="center"/>
        <w:rPr>
          <w:rFonts w:hAnsi="宋体"/>
          <w:sz w:val="36"/>
          <w:szCs w:val="36"/>
        </w:rPr>
      </w:pPr>
      <w:r>
        <w:rPr>
          <w:rFonts w:hint="eastAsia" w:hAnsi="宋体"/>
          <w:sz w:val="36"/>
          <w:szCs w:val="36"/>
          <w:u w:val="single"/>
        </w:rPr>
        <w:t xml:space="preserve">2017—2019 </w:t>
      </w:r>
      <w:r>
        <w:rPr>
          <w:rFonts w:hint="eastAsia" w:hAnsi="宋体"/>
          <w:sz w:val="36"/>
          <w:szCs w:val="36"/>
        </w:rPr>
        <w:t>学年度优秀教师推荐表</w:t>
      </w:r>
    </w:p>
    <w:p>
      <w:pPr>
        <w:tabs>
          <w:tab w:val="left" w:pos="7200"/>
        </w:tabs>
        <w:spacing w:before="156" w:beforeLines="50" w:after="93" w:afterLines="30" w:line="400" w:lineRule="exact"/>
        <w:rPr>
          <w:rFonts w:ascii="仿宋" w:hAnsi="仿宋" w:eastAsia="仿宋"/>
          <w:sz w:val="28"/>
          <w:szCs w:val="28"/>
        </w:rPr>
      </w:pPr>
      <w:r>
        <w:rPr>
          <w:rFonts w:hint="eastAsia" w:ascii="仿宋" w:hAnsi="仿宋" w:eastAsia="仿宋"/>
          <w:sz w:val="28"/>
          <w:szCs w:val="28"/>
        </w:rPr>
        <w:t xml:space="preserve">推荐部门：（签章）                     </w:t>
      </w:r>
      <w:r>
        <w:rPr>
          <w:rFonts w:hint="eastAsia" w:ascii="仿宋" w:hAnsi="仿宋" w:eastAsia="仿宋"/>
          <w:sz w:val="28"/>
          <w:szCs w:val="28"/>
          <w:lang w:val="en-US" w:eastAsia="zh-CN"/>
        </w:rPr>
        <w:t>2019</w:t>
      </w:r>
      <w:r>
        <w:rPr>
          <w:rFonts w:hint="eastAsia" w:ascii="仿宋" w:hAnsi="仿宋" w:eastAsia="仿宋"/>
          <w:sz w:val="28"/>
          <w:szCs w:val="28"/>
        </w:rPr>
        <w:t xml:space="preserve">年  </w:t>
      </w:r>
      <w:r>
        <w:rPr>
          <w:rFonts w:hint="eastAsia" w:ascii="仿宋" w:hAnsi="仿宋" w:eastAsia="仿宋"/>
          <w:sz w:val="28"/>
          <w:szCs w:val="28"/>
          <w:lang w:val="en-US" w:eastAsia="zh-CN"/>
        </w:rPr>
        <w:t>6</w:t>
      </w:r>
      <w:r>
        <w:rPr>
          <w:rFonts w:hint="eastAsia" w:ascii="仿宋" w:hAnsi="仿宋" w:eastAsia="仿宋"/>
          <w:sz w:val="28"/>
          <w:szCs w:val="28"/>
        </w:rPr>
        <w:t xml:space="preserve">  月  </w:t>
      </w:r>
      <w:r>
        <w:rPr>
          <w:rFonts w:hint="eastAsia" w:ascii="仿宋" w:hAnsi="仿宋" w:eastAsia="仿宋"/>
          <w:sz w:val="28"/>
          <w:szCs w:val="28"/>
          <w:lang w:val="en-US" w:eastAsia="zh-CN"/>
        </w:rPr>
        <w:t>11</w:t>
      </w:r>
      <w:r>
        <w:rPr>
          <w:rFonts w:hint="eastAsia" w:ascii="仿宋" w:hAnsi="仿宋" w:eastAsia="仿宋"/>
          <w:sz w:val="28"/>
          <w:szCs w:val="28"/>
        </w:rPr>
        <w:t xml:space="preserve">  日</w:t>
      </w:r>
    </w:p>
    <w:tbl>
      <w:tblPr>
        <w:tblStyle w:val="5"/>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755"/>
        <w:gridCol w:w="105"/>
        <w:gridCol w:w="461"/>
        <w:gridCol w:w="107"/>
        <w:gridCol w:w="1022"/>
        <w:gridCol w:w="219"/>
        <w:gridCol w:w="647"/>
        <w:gridCol w:w="277"/>
        <w:gridCol w:w="882"/>
        <w:gridCol w:w="358"/>
        <w:gridCol w:w="655"/>
        <w:gridCol w:w="794"/>
        <w:gridCol w:w="184"/>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428" w:type="dxa"/>
            <w:gridSpan w:val="4"/>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陈雯</w:t>
            </w:r>
          </w:p>
        </w:tc>
        <w:tc>
          <w:tcPr>
            <w:tcW w:w="1022"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性别</w:t>
            </w:r>
          </w:p>
        </w:tc>
        <w:tc>
          <w:tcPr>
            <w:tcW w:w="866" w:type="dxa"/>
            <w:gridSpan w:val="2"/>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女</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出生年月</w:t>
            </w:r>
          </w:p>
        </w:tc>
        <w:tc>
          <w:tcPr>
            <w:tcW w:w="1633" w:type="dxa"/>
            <w:gridSpan w:val="3"/>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1979,11</w:t>
            </w:r>
          </w:p>
        </w:tc>
        <w:tc>
          <w:tcPr>
            <w:tcW w:w="1657" w:type="dxa"/>
            <w:vMerge w:val="restart"/>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b/>
                <w:sz w:val="28"/>
                <w:szCs w:val="28"/>
                <w:lang w:eastAsia="zh-CN"/>
              </w:rPr>
              <w:drawing>
                <wp:anchor distT="0" distB="0" distL="114300" distR="114300" simplePos="0" relativeHeight="251658240" behindDoc="0" locked="0" layoutInCell="1" allowOverlap="1">
                  <wp:simplePos x="0" y="0"/>
                  <wp:positionH relativeFrom="column">
                    <wp:posOffset>47625</wp:posOffset>
                  </wp:positionH>
                  <wp:positionV relativeFrom="paragraph">
                    <wp:posOffset>34925</wp:posOffset>
                  </wp:positionV>
                  <wp:extent cx="814705" cy="1110615"/>
                  <wp:effectExtent l="0" t="0" r="4445" b="0"/>
                  <wp:wrapNone/>
                  <wp:docPr id="1" name="图片 1" descr="微信图片_20190531103225-护照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90531103225-护照照片"/>
                          <pic:cNvPicPr>
                            <a:picLocks noChangeAspect="1"/>
                          </pic:cNvPicPr>
                        </pic:nvPicPr>
                        <pic:blipFill>
                          <a:blip r:embed="rId4"/>
                          <a:stretch>
                            <a:fillRect/>
                          </a:stretch>
                        </pic:blipFill>
                        <pic:spPr>
                          <a:xfrm>
                            <a:off x="0" y="0"/>
                            <a:ext cx="814705" cy="1110615"/>
                          </a:xfrm>
                          <a:prstGeom prst="rect">
                            <a:avLst/>
                          </a:prstGeom>
                        </pic:spPr>
                      </pic:pic>
                    </a:graphicData>
                  </a:graphic>
                </wp:anchor>
              </w:drawing>
            </w:r>
          </w:p>
          <w:p>
            <w:pPr>
              <w:spacing w:line="240" w:lineRule="auto"/>
              <w:jc w:val="center"/>
              <w:rPr>
                <w:rFonts w:hint="eastAsia" w:ascii="仿宋_GB2312" w:hAnsi="仿宋" w:eastAsia="仿宋_GB2312"/>
                <w:b/>
                <w:sz w:val="28"/>
                <w:szCs w:val="28"/>
                <w:lang w:eastAsia="zh-CN"/>
              </w:rPr>
            </w:pPr>
            <w:r>
              <w:rPr>
                <w:rFonts w:hint="eastAsia" w:ascii="仿宋_GB2312" w:hAnsi="仿宋"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428" w:type="dxa"/>
            <w:gridSpan w:val="4"/>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博士</w:t>
            </w:r>
          </w:p>
        </w:tc>
        <w:tc>
          <w:tcPr>
            <w:tcW w:w="1022"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学位</w:t>
            </w:r>
          </w:p>
        </w:tc>
        <w:tc>
          <w:tcPr>
            <w:tcW w:w="866" w:type="dxa"/>
            <w:gridSpan w:val="2"/>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博士</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政治面貌</w:t>
            </w:r>
          </w:p>
        </w:tc>
        <w:tc>
          <w:tcPr>
            <w:tcW w:w="1633" w:type="dxa"/>
            <w:gridSpan w:val="3"/>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中共党员</w:t>
            </w:r>
          </w:p>
        </w:tc>
        <w:tc>
          <w:tcPr>
            <w:tcW w:w="1657" w:type="dxa"/>
            <w:vMerge w:val="continue"/>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2362" w:type="dxa"/>
            <w:gridSpan w:val="5"/>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专业技术职务</w:t>
            </w:r>
          </w:p>
        </w:tc>
        <w:tc>
          <w:tcPr>
            <w:tcW w:w="1888" w:type="dxa"/>
            <w:gridSpan w:val="3"/>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讲师</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行政职务</w:t>
            </w:r>
          </w:p>
        </w:tc>
        <w:tc>
          <w:tcPr>
            <w:tcW w:w="1633" w:type="dxa"/>
            <w:gridSpan w:val="3"/>
            <w:noWrap w:val="0"/>
            <w:vAlign w:val="center"/>
          </w:tcPr>
          <w:p>
            <w:pPr>
              <w:spacing w:line="520" w:lineRule="exact"/>
              <w:jc w:val="center"/>
              <w:rPr>
                <w:rFonts w:ascii="仿宋_GB2312" w:hAnsi="仿宋" w:eastAsia="仿宋_GB2312"/>
                <w:b/>
                <w:sz w:val="28"/>
                <w:szCs w:val="28"/>
              </w:rPr>
            </w:pPr>
          </w:p>
        </w:tc>
        <w:tc>
          <w:tcPr>
            <w:tcW w:w="1657" w:type="dxa"/>
            <w:vMerge w:val="continue"/>
            <w:tcBorders>
              <w:bottom w:val="nil"/>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4" w:hRule="exact"/>
        </w:trPr>
        <w:tc>
          <w:tcPr>
            <w:tcW w:w="3384" w:type="dxa"/>
            <w:gridSpan w:val="6"/>
            <w:tcBorders>
              <w:top w:val="single" w:color="auto" w:sz="4" w:space="0"/>
              <w:left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近两年年度考核情况</w:t>
            </w:r>
          </w:p>
        </w:tc>
        <w:tc>
          <w:tcPr>
            <w:tcW w:w="2383"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优秀</w:t>
            </w:r>
          </w:p>
        </w:tc>
        <w:tc>
          <w:tcPr>
            <w:tcW w:w="163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合格</w:t>
            </w:r>
          </w:p>
        </w:tc>
        <w:tc>
          <w:tcPr>
            <w:tcW w:w="1657" w:type="dxa"/>
            <w:tcBorders>
              <w:top w:val="nil"/>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474.3</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440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w:t>
            </w:r>
            <w:r>
              <w:rPr>
                <w:rFonts w:hint="eastAsia" w:ascii="仿宋_GB2312" w:hAnsi="仿宋" w:eastAsia="仿宋_GB2312"/>
                <w:sz w:val="28"/>
                <w:szCs w:val="28"/>
                <w:lang w:val="en-US" w:eastAsia="zh-CN"/>
              </w:rPr>
              <w:t>8</w:t>
            </w:r>
            <w:r>
              <w:rPr>
                <w:rFonts w:hint="eastAsia" w:ascii="仿宋_GB2312" w:hAnsi="仿宋" w:eastAsia="仿宋_GB2312"/>
                <w:sz w:val="28"/>
                <w:szCs w:val="28"/>
              </w:rPr>
              <w:t>—2019</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344.96</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1007.6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818.26</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1447.6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A类课程</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校级</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A类</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2018</w:t>
            </w: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课堂教学竞赛</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院级</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一等奖</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2018</w:t>
            </w: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66"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近两年参与学科建设情况（所作学术报告、参加学术会议等）: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hAnsi="仿宋" w:eastAsia="仿宋_GB2312"/>
                <w:b/>
                <w:sz w:val="24"/>
                <w:szCs w:val="24"/>
                <w:lang w:val="en-US" w:eastAsia="zh-CN"/>
              </w:rPr>
            </w:pPr>
            <w:r>
              <w:rPr>
                <w:rFonts w:hint="eastAsia" w:ascii="仿宋_GB2312" w:hAnsi="仿宋" w:eastAsia="仿宋_GB2312"/>
                <w:b/>
                <w:sz w:val="24"/>
                <w:szCs w:val="24"/>
                <w:lang w:val="en-US" w:eastAsia="zh-CN"/>
              </w:rPr>
              <w:t>2017年11月18日重庆第二师范学院参加全国第二届商务经济学学科专业建设暨商学教育改革研讨会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 w:eastAsia="仿宋_GB2312"/>
                <w:b/>
                <w:sz w:val="24"/>
                <w:szCs w:val="24"/>
                <w:lang w:val="en-US" w:eastAsia="zh-CN"/>
              </w:rPr>
            </w:pPr>
            <w:r>
              <w:rPr>
                <w:rFonts w:hint="eastAsia" w:ascii="仿宋_GB2312" w:hAnsi="仿宋" w:eastAsia="仿宋_GB2312"/>
                <w:b/>
                <w:sz w:val="24"/>
                <w:szCs w:val="24"/>
                <w:lang w:val="en-US" w:eastAsia="zh-CN"/>
              </w:rPr>
              <w:t>2018年5月5日对外经济贸易大学参加“经济发展暨一般均衡模型（CGE）学术研讨会-中国与世界经济分析：挑战与机遇”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 w:eastAsia="仿宋_GB2312"/>
                <w:b/>
                <w:sz w:val="24"/>
                <w:szCs w:val="24"/>
                <w:lang w:val="en-US" w:eastAsia="zh-CN"/>
              </w:rPr>
            </w:pPr>
            <w:r>
              <w:rPr>
                <w:rFonts w:hint="eastAsia" w:ascii="仿宋_GB2312" w:hAnsi="仿宋" w:eastAsia="仿宋_GB2312"/>
                <w:b/>
                <w:sz w:val="24"/>
                <w:szCs w:val="24"/>
                <w:lang w:val="en-US" w:eastAsia="zh-CN"/>
              </w:rPr>
              <w:t>2018年7月 作为学术骨干参与双一流应用经济学和理论经济学学科申报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 w:eastAsia="仿宋_GB2312"/>
                <w:b/>
                <w:sz w:val="28"/>
                <w:szCs w:val="28"/>
              </w:rPr>
            </w:pPr>
            <w:r>
              <w:rPr>
                <w:rFonts w:hint="eastAsia" w:ascii="仿宋_GB2312" w:hAnsi="仿宋" w:eastAsia="仿宋_GB2312"/>
                <w:b/>
                <w:sz w:val="24"/>
                <w:szCs w:val="24"/>
                <w:lang w:val="en-US" w:eastAsia="zh-CN"/>
              </w:rPr>
              <w:t>2018年11月2日中南大学参加2018年湖南省高校经济学教学改革与经验研讨会暨“改革开放与中国模式探索—纪念改革开放40周年”学术研讨会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2"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top"/>
          </w:tcPr>
          <w:p>
            <w:pPr>
              <w:spacing w:line="520" w:lineRule="exact"/>
              <w:rPr>
                <w:rFonts w:hint="eastAsia" w:ascii="仿宋_GB2312" w:hAnsi="仿宋" w:eastAsia="仿宋_GB2312"/>
                <w:sz w:val="28"/>
                <w:szCs w:val="28"/>
              </w:rPr>
            </w:pPr>
            <w:r>
              <w:rPr>
                <w:rFonts w:hint="eastAsia" w:ascii="仿宋_GB2312" w:hAnsi="仿宋" w:eastAsia="仿宋_GB2312"/>
                <w:sz w:val="28"/>
                <w:szCs w:val="28"/>
              </w:rPr>
              <w:t>近两年参与专业建设情况或其他公益性工作: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 w:eastAsia="仿宋_GB2312"/>
                <w:b/>
                <w:sz w:val="24"/>
                <w:szCs w:val="24"/>
                <w:lang w:val="en-US" w:eastAsia="zh-CN"/>
              </w:rPr>
            </w:pPr>
            <w:r>
              <w:rPr>
                <w:rFonts w:hint="eastAsia" w:ascii="仿宋_GB2312" w:hAnsi="仿宋" w:eastAsia="仿宋_GB2312"/>
                <w:b/>
                <w:sz w:val="24"/>
                <w:szCs w:val="24"/>
                <w:lang w:val="en-US" w:eastAsia="zh-CN"/>
              </w:rPr>
              <w:t>2018年制订并撰写商务经济学人才培养方案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 w:eastAsia="仿宋_GB2312"/>
                <w:b/>
                <w:sz w:val="24"/>
                <w:szCs w:val="24"/>
                <w:lang w:val="en-US" w:eastAsia="zh-CN"/>
              </w:rPr>
            </w:pPr>
            <w:r>
              <w:rPr>
                <w:rFonts w:hint="eastAsia" w:ascii="仿宋_GB2312" w:hAnsi="仿宋" w:eastAsia="仿宋_GB2312"/>
                <w:b/>
                <w:sz w:val="24"/>
                <w:szCs w:val="24"/>
                <w:lang w:val="en-US" w:eastAsia="zh-CN"/>
              </w:rPr>
              <w:t>2018年指导学生课题获国家级大学生创新创业项目立项并顺利结项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hAnsi="仿宋" w:eastAsia="仿宋_GB2312"/>
                <w:b/>
                <w:sz w:val="24"/>
                <w:szCs w:val="24"/>
                <w:lang w:val="en-US" w:eastAsia="zh-CN"/>
              </w:rPr>
            </w:pPr>
            <w:r>
              <w:rPr>
                <w:rFonts w:hint="eastAsia" w:ascii="仿宋_GB2312" w:hAnsi="仿宋" w:eastAsia="仿宋_GB2312"/>
                <w:b/>
                <w:sz w:val="24"/>
                <w:szCs w:val="24"/>
                <w:lang w:val="en-US" w:eastAsia="zh-CN"/>
              </w:rPr>
              <w:t>2018年获得省级教改课题立项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仿宋_GB2312" w:hAnsi="仿宋" w:eastAsia="仿宋_GB2312"/>
                <w:b/>
                <w:sz w:val="24"/>
                <w:szCs w:val="24"/>
                <w:lang w:val="en-US" w:eastAsia="zh-CN"/>
              </w:rPr>
            </w:pPr>
            <w:r>
              <w:rPr>
                <w:rFonts w:hint="eastAsia" w:ascii="仿宋_GB2312" w:hAnsi="仿宋" w:eastAsia="仿宋_GB2312"/>
                <w:b/>
                <w:sz w:val="24"/>
                <w:szCs w:val="24"/>
                <w:lang w:val="en-US" w:eastAsia="zh-CN"/>
              </w:rPr>
              <w:t>2018年作为院长助理辅助学院教学行政工作</w:t>
            </w: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cs="Arial Unicode MS"/>
                <w:sz w:val="28"/>
                <w:szCs w:val="28"/>
              </w:rPr>
            </w:pPr>
            <w:r>
              <w:rPr>
                <w:rFonts w:hint="eastAsia" w:ascii="仿宋_GB2312" w:hAnsi="仿宋" w:eastAsia="仿宋_GB2312" w:cs="Arial Unicode MS"/>
                <w:sz w:val="28"/>
                <w:szCs w:val="28"/>
              </w:rPr>
              <w:t>优秀事迹介绍（控制在1500字以内）</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仿宋_GB2312" w:hAnsi="仿宋" w:eastAsia="仿宋_GB2312"/>
                <w:b/>
                <w:sz w:val="28"/>
                <w:szCs w:val="28"/>
              </w:rPr>
            </w:pPr>
            <w:r>
              <w:rPr>
                <w:rFonts w:hint="eastAsia"/>
                <w:sz w:val="24"/>
                <w:lang w:val="en-US" w:eastAsia="zh-CN"/>
              </w:rPr>
              <w:t xml:space="preserve">     </w:t>
            </w:r>
            <w:r>
              <w:rPr>
                <w:rFonts w:hint="eastAsia" w:ascii="仿宋_GB2312" w:hAnsi="仿宋" w:eastAsia="仿宋_GB2312"/>
                <w:b/>
                <w:sz w:val="24"/>
                <w:szCs w:val="24"/>
                <w:lang w:val="en-US" w:eastAsia="zh-CN"/>
              </w:rPr>
              <w:t>陈雯同志是学校教学科研骨干，2017年年度考核“优秀”。教学上积极进取、不断探索创新教学方式方法，提高教学水平，两次被评为A类课程，多次获得学院课堂教学竞赛一等奖，在2017年教师教学能力提升培训华中师范大学班微课教学比赛中获得二等奖。2019年参与的第十二届教学成果奖申报项目获得学校一等奖并被推荐到省里评选。科研上业务成绩突出，积极参加学术会议和学术</w:t>
            </w:r>
            <w:bookmarkStart w:id="0" w:name="_GoBack"/>
            <w:bookmarkEnd w:id="0"/>
            <w:r>
              <w:rPr>
                <w:rFonts w:hint="eastAsia" w:ascii="仿宋_GB2312" w:hAnsi="仿宋" w:eastAsia="仿宋_GB2312"/>
                <w:b/>
                <w:sz w:val="24"/>
                <w:szCs w:val="24"/>
                <w:lang w:val="en-US" w:eastAsia="zh-CN"/>
              </w:rPr>
              <w:t>讲座，2017年出版专著1部，2018年主持省部级课题3项（其中教育部人文社会科学研究青年基金1项，省教改课题1项）。学生指导认真负责，指导的学生获得过优秀毕业论文，作为学业导师2017年被评为“优秀”，指导的学生获得了2018年国家级大学生研究性学习和创新性实验项目立项并顺利结题，发表论文1篇。2018年曾被聘为院长助理，负责学院的教学管理工作，尽心、尽力、尽责地完成本职工作，能自觉把分管工作抓紧抓实、抓出成效，不断提高教学管理水平，对教务处和学院布置的各项常规教学工作能圆满完成，还能积极配合领导开展院部各项其他工作。该同志十分重视自己的政治理论学习和政治素养提高，认真学习党的全会精神和总书记重要讲话精神，提升政治觉悟，时刻以党员标准严格要求自己；不断改进工作作风，努力做好教学管理工作，服务好教师和学生。该同志认真听取教师和学生对教学和教学管理上的意见，努力改进教学管理方法和手段，率先垂范并带动老师进行教学改革创新；不断加强院教学常规管理，切实履行教学管理工作职责，包括组织制定和修订人才培养方案，不断完善人才培养方案，使专业培养方案更科学、更合理，更加符合社会对专业人才的需求；定期和不定期地进行了教学检查和督促，及时发现和解决问题，保证了正常的教学秩序；督促各系主任认真学习《国标》和专业审核评估文件，组织老师努力完成相关指标，为专业审核评估早作准备；安排组织课堂教学竞赛的初赛，切实有效地安排了为参赛老师进入校赛、省赛的课程打磨活动，最后参赛老师获得湖南省三等奖的好成绩。该同志还协助院长管理学科建设工作，作为主要负责人之一承担了双一流应用特色学科两个学科的申报活动，整个暑假加班加点进行材料收集、整理、撰写等工作，以共产党员的奉献精神为第一要务，为应用经济学学科的成功申报做出了较大的贡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hint="eastAsia" w:ascii="仿宋_GB2312" w:hAnsi="仿宋" w:eastAsia="仿宋_GB2312"/>
                <w:sz w:val="28"/>
                <w:szCs w:val="28"/>
              </w:rPr>
            </w:pPr>
          </w:p>
          <w:p>
            <w:pPr>
              <w:spacing w:before="93" w:beforeLines="30" w:line="520" w:lineRule="exact"/>
              <w:ind w:firstLine="5922" w:firstLineChars="2115"/>
              <w:rPr>
                <w:rFonts w:hint="eastAsia" w:ascii="仿宋_GB2312" w:hAnsi="仿宋" w:eastAsia="仿宋_GB2312"/>
                <w:sz w:val="28"/>
                <w:szCs w:val="28"/>
              </w:rPr>
            </w:pP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400" w:lineRule="exact"/>
              <w:ind w:firstLine="6722" w:firstLineChars="2401"/>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45"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79" w:leftChars="171" w:hanging="420" w:hangingChars="150"/>
              <w:rPr>
                <w:rFonts w:ascii="仿宋_GB2312" w:hAnsi="仿宋" w:eastAsia="仿宋_GB2312"/>
                <w:b/>
                <w:sz w:val="28"/>
                <w:szCs w:val="28"/>
              </w:rPr>
            </w:pPr>
            <w:r>
              <w:rPr>
                <w:rFonts w:hint="eastAsia" w:ascii="仿宋_GB2312" w:hAnsi="仿宋" w:eastAsia="仿宋_GB2312"/>
                <w:sz w:val="28"/>
                <w:szCs w:val="28"/>
              </w:rPr>
              <w:t>出席会议</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人，其中同意</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人，反对</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人，弃权</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w:t>
            </w:r>
          </w:p>
          <w:p>
            <w:pPr>
              <w:spacing w:line="560" w:lineRule="exact"/>
              <w:ind w:right="480" w:firstLine="5417" w:firstLineChars="1927"/>
              <w:rPr>
                <w:rFonts w:ascii="仿宋_GB2312" w:hAnsi="仿宋" w:eastAsia="仿宋_GB2312"/>
                <w:b/>
                <w:sz w:val="28"/>
                <w:szCs w:val="28"/>
              </w:rPr>
            </w:pPr>
          </w:p>
          <w:p>
            <w:pPr>
              <w:spacing w:line="560" w:lineRule="exact"/>
              <w:ind w:right="480" w:firstLine="5395" w:firstLineChars="1927"/>
              <w:rPr>
                <w:rFonts w:hint="eastAsia" w:ascii="仿宋_GB2312" w:hAnsi="仿宋" w:eastAsia="仿宋_GB2312"/>
                <w:sz w:val="28"/>
                <w:szCs w:val="28"/>
              </w:rPr>
            </w:pPr>
          </w:p>
          <w:p>
            <w:pPr>
              <w:spacing w:line="560" w:lineRule="exact"/>
              <w:ind w:right="480" w:firstLine="3640" w:firstLineChars="1300"/>
              <w:rPr>
                <w:rFonts w:ascii="仿宋_GB2312" w:hAnsi="仿宋" w:eastAsia="仿宋_GB2312"/>
                <w:b/>
                <w:sz w:val="28"/>
                <w:szCs w:val="28"/>
              </w:rPr>
            </w:pPr>
            <w:r>
              <w:rPr>
                <w:rFonts w:hint="eastAsia" w:ascii="仿宋_GB2312" w:hAnsi="仿宋" w:eastAsia="仿宋_GB2312"/>
                <w:sz w:val="28"/>
                <w:szCs w:val="28"/>
              </w:rPr>
              <w:t>（签字  盖章）</w:t>
            </w:r>
          </w:p>
          <w:p>
            <w:pPr>
              <w:tabs>
                <w:tab w:val="left" w:pos="5969"/>
                <w:tab w:val="left" w:pos="6149"/>
              </w:tabs>
              <w:wordWrap w:val="0"/>
              <w:spacing w:line="520" w:lineRule="exact"/>
              <w:jc w:val="right"/>
              <w:rPr>
                <w:rFonts w:ascii="仿宋_GB2312" w:hAnsi="仿宋" w:eastAsia="仿宋_GB2312"/>
                <w:b/>
                <w:sz w:val="28"/>
                <w:szCs w:val="28"/>
              </w:rPr>
            </w:pPr>
            <w:r>
              <w:rPr>
                <w:rFonts w:hint="eastAsia" w:ascii="仿宋_GB2312" w:hAnsi="仿宋" w:eastAsia="仿宋_GB2312"/>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03"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03"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both"/>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pPr>
        <w:spacing w:line="520" w:lineRule="exact"/>
        <w:rPr>
          <w:rFonts w:hint="eastAsia" w:ascii="仿宋_GB2312" w:hAnsi="仿宋" w:eastAsia="仿宋_GB2312"/>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00795"/>
    <w:rsid w:val="07DB02A3"/>
    <w:rsid w:val="28800795"/>
    <w:rsid w:val="289741EB"/>
    <w:rsid w:val="35C64A19"/>
    <w:rsid w:val="3A1D59E9"/>
    <w:rsid w:val="3A6F6906"/>
    <w:rsid w:val="4A813A36"/>
    <w:rsid w:val="4E2F52AB"/>
    <w:rsid w:val="519F26C9"/>
    <w:rsid w:val="65EF710F"/>
    <w:rsid w:val="68AF57BC"/>
    <w:rsid w:val="6F95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0"/>
    <w:pPr>
      <w:keepNext/>
      <w:keepLines/>
      <w:spacing w:beforeLines="0" w:beforeAutospacing="0" w:afterLines="0" w:afterAutospacing="0" w:line="576" w:lineRule="auto"/>
      <w:outlineLvl w:val="0"/>
    </w:pPr>
    <w:rPr>
      <w:rFonts w:ascii="Calibri" w:hAnsi="Calibri" w:eastAsia="楷体"/>
      <w:b/>
      <w:color w:val="000000"/>
      <w:kern w:val="44"/>
      <w:sz w:val="32"/>
      <w:szCs w:val="22"/>
    </w:rPr>
  </w:style>
  <w:style w:type="paragraph" w:styleId="3">
    <w:name w:val="heading 3"/>
    <w:basedOn w:val="1"/>
    <w:next w:val="1"/>
    <w:semiHidden/>
    <w:unhideWhenUsed/>
    <w:qFormat/>
    <w:uiPriority w:val="0"/>
    <w:pPr>
      <w:keepNext/>
      <w:keepLines/>
      <w:spacing w:beforeLines="0" w:beforeAutospacing="0" w:afterLines="0" w:afterAutospacing="0" w:line="276" w:lineRule="auto"/>
      <w:ind w:firstLine="562" w:firstLineChars="200"/>
      <w:outlineLvl w:val="2"/>
    </w:pPr>
    <w:rPr>
      <w:rFonts w:ascii="Calibri" w:hAnsi="Calibri" w:eastAsia="楷体"/>
      <w:b/>
      <w:color w:val="000000"/>
      <w:sz w:val="28"/>
      <w:szCs w:val="2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asciiTheme="minorAscii" w:hAnsiTheme="minorAscii" w:eastAsiaTheme="minorEastAsia"/>
      <w:sz w:val="21"/>
      <w:szCs w:val="22"/>
    </w:rPr>
  </w:style>
  <w:style w:type="character" w:styleId="7">
    <w:name w:val="Strong"/>
    <w:basedOn w:val="6"/>
    <w:qFormat/>
    <w:uiPriority w:val="22"/>
    <w:rPr>
      <w:b/>
      <w:bCs/>
    </w:rPr>
  </w:style>
  <w:style w:type="character" w:customStyle="1" w:styleId="8">
    <w:name w:val="标题 1 Char"/>
    <w:link w:val="2"/>
    <w:qFormat/>
    <w:uiPriority w:val="0"/>
    <w:rPr>
      <w:rFonts w:ascii="Calibri" w:hAnsi="Calibri" w:eastAsia="楷体"/>
      <w:b/>
      <w:color w:val="000000"/>
      <w:kern w:val="44"/>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Office_11.1.0.8648_F1E327BC-269C-435d-A152-05C5408002CA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2019-06-11T02:12:00Z</dcterms:created>
  <dc:creator>CW</dc:creator>
  <cp:lastModifiedBy>CW</cp:lastModifiedBy>
  <dcterms:modified xsi:type="dcterms:W3CDTF">2019-06-14T08:21:42Z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2052-11.1.0.8648</vt:lpwstr>
  </property>
</Properties>
</file>