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Ansi="宋体"/>
          <w:sz w:val="36"/>
          <w:szCs w:val="36"/>
        </w:rPr>
      </w:pPr>
      <w:r>
        <w:rPr>
          <w:rFonts w:hint="eastAsia" w:hAnsi="宋体"/>
          <w:sz w:val="36"/>
          <w:szCs w:val="36"/>
          <w:u w:val="single"/>
        </w:rPr>
        <w:t xml:space="preserve">2017—2019 </w:t>
      </w:r>
      <w:r>
        <w:rPr>
          <w:rFonts w:hint="eastAsia" w:hAnsi="宋体"/>
          <w:sz w:val="36"/>
          <w:szCs w:val="36"/>
        </w:rPr>
        <w:t>学年度优秀教师推荐表</w:t>
      </w:r>
    </w:p>
    <w:p>
      <w:pPr>
        <w:tabs>
          <w:tab w:val="left" w:pos="7200"/>
        </w:tabs>
        <w:spacing w:before="156" w:beforeLines="50" w:after="93" w:afterLines="30" w:line="400" w:lineRule="exact"/>
        <w:rPr>
          <w:rFonts w:ascii="仿宋" w:hAnsi="仿宋" w:eastAsia="仿宋"/>
          <w:sz w:val="28"/>
          <w:szCs w:val="28"/>
        </w:rPr>
      </w:pPr>
      <w:r>
        <w:rPr>
          <w:rFonts w:hint="eastAsia" w:ascii="仿宋" w:hAnsi="仿宋" w:eastAsia="仿宋"/>
          <w:sz w:val="28"/>
          <w:szCs w:val="28"/>
        </w:rPr>
        <w:t xml:space="preserve">推荐部门：（签章）                   </w:t>
      </w:r>
      <w:r>
        <w:rPr>
          <w:rFonts w:hint="eastAsia" w:ascii="仿宋" w:hAnsi="仿宋" w:eastAsia="仿宋"/>
          <w:sz w:val="28"/>
          <w:szCs w:val="28"/>
          <w:lang w:val="en-US" w:eastAsia="zh-CN"/>
        </w:rPr>
        <w:t>2019</w:t>
      </w:r>
      <w:r>
        <w:rPr>
          <w:rFonts w:hint="eastAsia" w:ascii="仿宋" w:hAnsi="仿宋" w:eastAsia="仿宋"/>
          <w:sz w:val="28"/>
          <w:szCs w:val="28"/>
        </w:rPr>
        <w:t xml:space="preserve">  年   </w:t>
      </w:r>
      <w:r>
        <w:rPr>
          <w:rFonts w:hint="eastAsia" w:ascii="仿宋" w:hAnsi="仿宋" w:eastAsia="仿宋"/>
          <w:sz w:val="28"/>
          <w:szCs w:val="28"/>
          <w:lang w:val="en-US" w:eastAsia="zh-CN"/>
        </w:rPr>
        <w:t>6</w:t>
      </w:r>
      <w:r>
        <w:rPr>
          <w:rFonts w:hint="eastAsia" w:ascii="仿宋" w:hAnsi="仿宋" w:eastAsia="仿宋"/>
          <w:sz w:val="28"/>
          <w:szCs w:val="28"/>
        </w:rPr>
        <w:t xml:space="preserve"> 月 </w:t>
      </w:r>
      <w:r>
        <w:rPr>
          <w:rFonts w:hint="eastAsia" w:ascii="仿宋" w:hAnsi="仿宋" w:eastAsia="仿宋"/>
          <w:sz w:val="28"/>
          <w:szCs w:val="28"/>
          <w:lang w:val="en-US" w:eastAsia="zh-CN"/>
        </w:rPr>
        <w:t>10</w:t>
      </w:r>
      <w:r>
        <w:rPr>
          <w:rFonts w:hint="eastAsia" w:ascii="仿宋" w:hAnsi="仿宋" w:eastAsia="仿宋"/>
          <w:sz w:val="28"/>
          <w:szCs w:val="28"/>
        </w:rPr>
        <w:t xml:space="preserve"> 日</w:t>
      </w:r>
    </w:p>
    <w:tbl>
      <w:tblPr>
        <w:tblStyle w:val="3"/>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755"/>
        <w:gridCol w:w="105"/>
        <w:gridCol w:w="461"/>
        <w:gridCol w:w="107"/>
        <w:gridCol w:w="1022"/>
        <w:gridCol w:w="219"/>
        <w:gridCol w:w="647"/>
        <w:gridCol w:w="277"/>
        <w:gridCol w:w="882"/>
        <w:gridCol w:w="358"/>
        <w:gridCol w:w="655"/>
        <w:gridCol w:w="794"/>
        <w:gridCol w:w="184"/>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428" w:type="dxa"/>
            <w:gridSpan w:val="4"/>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葛干忠</w:t>
            </w:r>
          </w:p>
        </w:tc>
        <w:tc>
          <w:tcPr>
            <w:tcW w:w="1022"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性别</w:t>
            </w:r>
          </w:p>
        </w:tc>
        <w:tc>
          <w:tcPr>
            <w:tcW w:w="866" w:type="dxa"/>
            <w:gridSpan w:val="2"/>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男</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出生年月</w:t>
            </w:r>
          </w:p>
        </w:tc>
        <w:tc>
          <w:tcPr>
            <w:tcW w:w="1633" w:type="dxa"/>
            <w:gridSpan w:val="3"/>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1976.1</w:t>
            </w:r>
          </w:p>
        </w:tc>
        <w:tc>
          <w:tcPr>
            <w:tcW w:w="1657" w:type="dxa"/>
            <w:vMerge w:val="restart"/>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934"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428" w:type="dxa"/>
            <w:gridSpan w:val="4"/>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研究生</w:t>
            </w:r>
          </w:p>
        </w:tc>
        <w:tc>
          <w:tcPr>
            <w:tcW w:w="1022" w:type="dxa"/>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学位</w:t>
            </w:r>
          </w:p>
        </w:tc>
        <w:tc>
          <w:tcPr>
            <w:tcW w:w="866" w:type="dxa"/>
            <w:gridSpan w:val="2"/>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博士</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政治面貌</w:t>
            </w:r>
          </w:p>
        </w:tc>
        <w:tc>
          <w:tcPr>
            <w:tcW w:w="1633" w:type="dxa"/>
            <w:gridSpan w:val="3"/>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中共党员</w:t>
            </w:r>
          </w:p>
        </w:tc>
        <w:tc>
          <w:tcPr>
            <w:tcW w:w="1657" w:type="dxa"/>
            <w:vMerge w:val="continue"/>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2362" w:type="dxa"/>
            <w:gridSpan w:val="5"/>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专业技术职务</w:t>
            </w:r>
          </w:p>
        </w:tc>
        <w:tc>
          <w:tcPr>
            <w:tcW w:w="1888" w:type="dxa"/>
            <w:gridSpan w:val="3"/>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副教授</w:t>
            </w:r>
          </w:p>
        </w:tc>
        <w:tc>
          <w:tcPr>
            <w:tcW w:w="1517" w:type="dxa"/>
            <w:gridSpan w:val="3"/>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行政职务</w:t>
            </w:r>
          </w:p>
        </w:tc>
        <w:tc>
          <w:tcPr>
            <w:tcW w:w="1633" w:type="dxa"/>
            <w:gridSpan w:val="3"/>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副院长</w:t>
            </w:r>
          </w:p>
        </w:tc>
        <w:tc>
          <w:tcPr>
            <w:tcW w:w="1657" w:type="dxa"/>
            <w:vMerge w:val="continue"/>
            <w:tcBorders>
              <w:bottom w:val="nil"/>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4" w:hRule="exact"/>
        </w:trPr>
        <w:tc>
          <w:tcPr>
            <w:tcW w:w="3384" w:type="dxa"/>
            <w:gridSpan w:val="6"/>
            <w:tcBorders>
              <w:top w:val="single" w:color="auto" w:sz="4" w:space="0"/>
              <w:left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近两年年度考核情况</w:t>
            </w:r>
          </w:p>
        </w:tc>
        <w:tc>
          <w:tcPr>
            <w:tcW w:w="2383"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合格</w:t>
            </w:r>
          </w:p>
        </w:tc>
        <w:tc>
          <w:tcPr>
            <w:tcW w:w="163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合格</w:t>
            </w:r>
          </w:p>
        </w:tc>
        <w:tc>
          <w:tcPr>
            <w:tcW w:w="1657" w:type="dxa"/>
            <w:tcBorders>
              <w:top w:val="nil"/>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222.2+247</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170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w:t>
            </w:r>
            <w:r>
              <w:rPr>
                <w:rFonts w:hint="eastAsia" w:ascii="仿宋_GB2312" w:hAnsi="仿宋" w:eastAsia="仿宋_GB2312"/>
                <w:sz w:val="28"/>
                <w:szCs w:val="28"/>
                <w:lang w:val="en-US" w:eastAsia="zh-CN"/>
              </w:rPr>
              <w:t>8</w:t>
            </w:r>
            <w:r>
              <w:rPr>
                <w:rFonts w:hint="eastAsia" w:ascii="仿宋_GB2312" w:hAnsi="仿宋" w:eastAsia="仿宋_GB2312"/>
                <w:sz w:val="28"/>
                <w:szCs w:val="28"/>
              </w:rPr>
              <w:t>—2019</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rPr>
            </w:pPr>
            <w:r>
              <w:rPr>
                <w:rFonts w:hint="eastAsia" w:ascii="仿宋_GB2312" w:hAnsi="仿宋" w:eastAsia="仿宋_GB2312"/>
                <w:b/>
                <w:sz w:val="28"/>
                <w:szCs w:val="28"/>
                <w:lang w:val="en-US" w:eastAsia="zh-CN"/>
              </w:rPr>
              <w:t>64+262</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286.2+509</w:t>
            </w: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170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255"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72"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9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63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教学考核</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校级</w:t>
            </w: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val="en-US" w:eastAsia="zh-CN"/>
              </w:rPr>
              <w:t>一类课程</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2017-2018</w:t>
            </w: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79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bookmarkStart w:id="0" w:name="_GoBack"/>
            <w:bookmarkEnd w:id="0"/>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18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66"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rPr>
                <w:rFonts w:hint="eastAsia" w:ascii="仿宋_GB2312" w:hAnsi="仿宋" w:eastAsia="仿宋_GB2312"/>
                <w:sz w:val="28"/>
                <w:szCs w:val="28"/>
              </w:rPr>
            </w:pPr>
            <w:r>
              <w:rPr>
                <w:rFonts w:hint="eastAsia" w:ascii="仿宋_GB2312" w:hAnsi="仿宋" w:eastAsia="仿宋_GB2312"/>
                <w:sz w:val="28"/>
                <w:szCs w:val="28"/>
              </w:rPr>
              <w:t>近两年参与学科建设情况（所作学术报告、参加学术会议等）:</w:t>
            </w:r>
          </w:p>
          <w:p>
            <w:pPr>
              <w:numPr>
                <w:ilvl w:val="0"/>
                <w:numId w:val="1"/>
              </w:numPr>
              <w:spacing w:line="520" w:lineRule="exact"/>
              <w:ind w:left="420" w:leftChars="0" w:hanging="420" w:firstLineChars="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2017.12.17参加福州财务教学暨财务共享高级教学研讨会；</w:t>
            </w:r>
          </w:p>
          <w:p>
            <w:pPr>
              <w:numPr>
                <w:ilvl w:val="0"/>
                <w:numId w:val="1"/>
              </w:numPr>
              <w:spacing w:line="520" w:lineRule="exact"/>
              <w:ind w:left="420" w:leftChars="0" w:hanging="420" w:firstLineChars="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2018.7.21-23参加全国高校会计类专业融合与重构主题研讨会；</w:t>
            </w:r>
          </w:p>
          <w:p>
            <w:pPr>
              <w:numPr>
                <w:ilvl w:val="0"/>
                <w:numId w:val="1"/>
              </w:numPr>
              <w:spacing w:line="520" w:lineRule="exact"/>
              <w:ind w:left="420" w:leftChars="0" w:hanging="420" w:firstLineChars="0"/>
              <w:rPr>
                <w:rFonts w:ascii="仿宋_GB2312" w:hAnsi="仿宋" w:eastAsia="仿宋_GB2312"/>
                <w:b/>
                <w:sz w:val="28"/>
                <w:szCs w:val="28"/>
              </w:rPr>
            </w:pPr>
            <w:r>
              <w:rPr>
                <w:rFonts w:hint="eastAsia" w:ascii="仿宋_GB2312" w:hAnsi="仿宋" w:eastAsia="仿宋_GB2312"/>
                <w:sz w:val="24"/>
                <w:szCs w:val="24"/>
                <w:lang w:val="en-US" w:eastAsia="zh-CN"/>
              </w:rPr>
              <w:t>2018.11.23-25参加高等学校大数据会计理论与教学高级研讨会。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2"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top"/>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近两年参与专业建设情况或其他公益性工作: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2017年负责会计学本科专业综合评价工作；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2017年参加本科教学工作合格评估评建工作；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2018年参加审计学专业学位评估工作；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2018年参加工商管理——应用特色学科申报工作；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2018年参加我校文明高校创建材料整理申报工作；</w:t>
            </w:r>
          </w:p>
          <w:p>
            <w:pPr>
              <w:numPr>
                <w:ilvl w:val="0"/>
                <w:numId w:val="2"/>
              </w:numPr>
              <w:spacing w:line="520" w:lineRule="exact"/>
              <w:ind w:left="420" w:leftChars="0" w:hanging="420" w:firstLineChars="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2018年参加湖南省高校大学生创新创业孵化示范基地评建工作；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2019年负责财务管理本科专业综合评价工作；</w:t>
            </w:r>
          </w:p>
          <w:p>
            <w:pPr>
              <w:numPr>
                <w:ilvl w:val="0"/>
                <w:numId w:val="2"/>
              </w:numPr>
              <w:spacing w:line="520" w:lineRule="exact"/>
              <w:ind w:left="420" w:leftChars="0" w:hanging="420" w:firstLineChars="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2019年负责财务管理专业一流本科专业建设申报工作；</w:t>
            </w:r>
          </w:p>
          <w:p>
            <w:pPr>
              <w:numPr>
                <w:ilvl w:val="0"/>
                <w:numId w:val="2"/>
              </w:numPr>
              <w:spacing w:line="520" w:lineRule="exact"/>
              <w:ind w:left="420" w:leftChars="0" w:hanging="420" w:firstLineChars="0"/>
              <w:rPr>
                <w:rFonts w:ascii="仿宋_GB2312" w:hAnsi="仿宋" w:eastAsia="仿宋_GB2312"/>
                <w:b/>
                <w:sz w:val="28"/>
                <w:szCs w:val="28"/>
              </w:rPr>
            </w:pPr>
            <w:r>
              <w:rPr>
                <w:rFonts w:hint="eastAsia" w:ascii="仿宋_GB2312" w:hAnsi="仿宋" w:eastAsia="仿宋_GB2312"/>
                <w:sz w:val="24"/>
                <w:szCs w:val="24"/>
                <w:lang w:val="en-US" w:eastAsia="zh-CN"/>
              </w:rPr>
              <w:t>2019年参加“三全教育”综合改革试点申报工作。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60"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cs="Arial Unicode MS"/>
                <w:b/>
                <w:sz w:val="28"/>
                <w:szCs w:val="28"/>
              </w:rPr>
            </w:pPr>
            <w:r>
              <w:rPr>
                <w:rFonts w:hint="eastAsia" w:ascii="仿宋_GB2312" w:hAnsi="仿宋" w:eastAsia="仿宋_GB2312" w:cs="Arial Unicode MS"/>
                <w:sz w:val="28"/>
                <w:szCs w:val="28"/>
              </w:rPr>
              <w:t>优秀事迹介绍</w:t>
            </w:r>
          </w:p>
          <w:p>
            <w:pPr>
              <w:numPr>
                <w:ilvl w:val="0"/>
                <w:numId w:val="3"/>
              </w:numPr>
              <w:spacing w:line="520" w:lineRule="exact"/>
              <w:ind w:left="0" w:leftChars="0" w:firstLine="420" w:firstLineChars="0"/>
              <w:jc w:val="both"/>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爱生如子，潜心教学</w:t>
            </w:r>
          </w:p>
          <w:p>
            <w:pPr>
              <w:numPr>
                <w:ilvl w:val="0"/>
                <w:numId w:val="0"/>
              </w:numPr>
              <w:spacing w:line="520" w:lineRule="exact"/>
              <w:ind w:firstLine="560" w:firstLineChars="200"/>
              <w:jc w:val="both"/>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2005年，葛干忠硕士毕业后放弃了去省级机关单位工作的机会，来到了湖南财政经济学院从事教学工作，先后承担了《基础会计》《成本会计》《财务管理》《财务分析》《资本经营》等主干课程的教学任务。由于会计学院学生多，师资不足，教学任务重，葛老师总是主动请求多承担些教学任务，以致于一些学期一周的课时量达到20节以上。但作为一名教育工作者，葛老师并没有因为任务重而放松对教学质量的追求，而是全身心投入到教学当中，认真备好每一堂课，主动创新教学方法，力图将所授的每一门课程都打造成“金课”。葛老师非常注重课堂学习气氛的营造，在他的课堂上，总是轻松、幽默、严肃而又活跃；葛老师非常注重知识的“内化”，要求学生不仅知其然，还要知其所以然。由于教学效果好，所授课程曾连续六次被学校评为“一类课程”。</w:t>
            </w:r>
          </w:p>
          <w:p>
            <w:pPr>
              <w:numPr>
                <w:ilvl w:val="0"/>
                <w:numId w:val="0"/>
              </w:numPr>
              <w:spacing w:line="520" w:lineRule="exact"/>
              <w:ind w:firstLine="560" w:firstLineChars="200"/>
              <w:jc w:val="both"/>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纸上得来终觉浅，绝知此事要躬行。葛老师还非常注重对学生实践能力、创新能力的培养，经常利用课外时间组织和指导学生参加各类学科竞赛及课题的申报，并取得了较好的成绩。指导学生参加的第三届、第四届湖南省高校MPAcc企业案例大赛在本科生组均获得了省级优胜奖；指导学生参加的2018年湖南省“新道杯”第三届大学生企业模拟经营大赛获得了省级三等奖；指导学生参加的2018年湖南省首届财务大数据应用能力大赛获得一等奖；指导学生申报2019年度湖南省大学生创新创业训练计划项目，获得了省级立项。</w:t>
            </w:r>
          </w:p>
          <w:p>
            <w:pPr>
              <w:numPr>
                <w:ilvl w:val="0"/>
                <w:numId w:val="0"/>
              </w:numPr>
              <w:spacing w:line="520" w:lineRule="exact"/>
              <w:ind w:firstLine="560" w:firstLineChars="200"/>
              <w:jc w:val="both"/>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葛老师认为，好学生的标准不仅仅在于较好的学习成绩，还在于健全的人格、高尚的情操、远大的志向和乐观向上的进取精神。为此，葛老师注重学生的全面发展，并言传身教潜移默化地影响着每一位学生。</w:t>
            </w:r>
          </w:p>
          <w:p>
            <w:pPr>
              <w:numPr>
                <w:ilvl w:val="0"/>
                <w:numId w:val="3"/>
              </w:numPr>
              <w:spacing w:line="520" w:lineRule="exact"/>
              <w:ind w:left="0" w:leftChars="0" w:firstLine="420" w:firstLineChars="0"/>
              <w:jc w:val="both"/>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服务师生，勇挑重担</w:t>
            </w:r>
          </w:p>
          <w:p>
            <w:pPr>
              <w:spacing w:line="520" w:lineRule="exact"/>
              <w:jc w:val="left"/>
              <w:rPr>
                <w:rFonts w:hint="default"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 xml:space="preserve">   2013年起葛老师先后担任支部书记、系主任及分管实践教学的副院长职务。在党建方面，为了真正发挥党支部的战斗堡垒作用和党员的先锋模范作用，葛老师严格按照上级要求，围绕中心搞党建，带头讲党课，组织党员学习党章、学习系列讲话以及党的路线、方针、政策，要求党员教师在促进学校及学院发展的过程中发挥模范带头作用，真正做到“不忘初心、牢记使命”。在专业建设方面，认真组织本系老师申报省校级质量工程项目，组织校内外专家共同探讨、修订人才培养方案，组织教师开展各项教研活动、编写相关课程的教学大纲、考试大纲及试题库等。在实践教学管理方面，为了改变长期以来实践教学弱化的局面，他从“实”字上做文章，要求严格按照学校规章制度将各项工作落到实处。上任第一件实事就是把2017级大一20个新生班全部安排到三一重工、蓝思科技、长高集团等企业进行专业认知实习并邀请校外专家来校进行专业认知讲座。其次，大力宣传和组织学生参加各类学科竞赛，近三年来会计学院学生在省级比赛中共获得一等奖2项、二等奖1项、三等奖3项以及优秀组织奖3项，取得了历史性突破。再次，是大力加强实验实习平台建设，筹建了智慧财务实验室及财务共享实验室，新增了近10家校企共建教学实习基地。在繁重的管理工作之余，还积极配合学校（院）圆满完成了本科合格评估、会计学与财务管理本科专业综合评价、审计学专业学位评估、工商管理特色学科申报等一系列专项工作。尽管工作繁杂，但他从不推诿。他说，既然得到组织上的信任，就要做到“工作不讲价钱，执行不打折扣”，让组织放心，让同事满意。</w:t>
            </w:r>
          </w:p>
          <w:p>
            <w:pPr>
              <w:numPr>
                <w:ilvl w:val="0"/>
                <w:numId w:val="3"/>
              </w:numPr>
              <w:spacing w:line="520" w:lineRule="exact"/>
              <w:ind w:left="0" w:leftChars="0" w:firstLine="420" w:firstLineChars="0"/>
              <w:jc w:val="both"/>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积极进取，教研相长</w:t>
            </w:r>
          </w:p>
          <w:p>
            <w:pPr>
              <w:numPr>
                <w:ilvl w:val="0"/>
                <w:numId w:val="0"/>
              </w:numPr>
              <w:spacing w:line="520" w:lineRule="exact"/>
              <w:ind w:firstLine="560" w:firstLineChars="200"/>
              <w:jc w:val="both"/>
              <w:rPr>
                <w:rFonts w:hint="default"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葛老师深知，“要想给别人一滴水，自己要有一桶水”。在这个知识日新月异的时代，要想持续胜任高校教师岗位，就需要自身不断的充电和学习，不断提高自己的教学科研水平。为此，他积极参加各类学术活动，如财务教学暨财务共享高级教学研讨会、全国高校会计类专业融合与重构主题研讨会、高等学校大数据会计理论与教学高级研讨会等。另外，2013年申请到千年学府湖南大学进行国内访学一年，2016年下半年参加了广东外语外贸大学举办的国家留学英语培训，2017年5月参加了华中师范大学为期一周的教学管理人员业务培训。特别是在教学之余，攻读了博士学位，并进入博士后流动站工作。通过进修与学习，教学科研水平水平有了较大的提高，相继在《湖南科技大学学报（社会科学版）》、《湖南社会科学》、《求索》《财会月刊》《会计之友》等CSSCI来源期刊、北大核心期刊上公开发表教研论文20余篇，其中教改论文2篇；成功申报省级课题9项，其中教改课题2项。</w:t>
            </w:r>
          </w:p>
          <w:p>
            <w:pPr>
              <w:spacing w:line="520" w:lineRule="exact"/>
              <w:ind w:firstLine="560"/>
              <w:jc w:val="left"/>
              <w:rPr>
                <w:rFonts w:hint="eastAsia" w:ascii="仿宋_GB2312" w:hAnsi="仿宋" w:eastAsia="仿宋_GB2312"/>
                <w:b w:val="0"/>
                <w:bCs/>
                <w:sz w:val="28"/>
                <w:szCs w:val="28"/>
                <w:lang w:val="en-US" w:eastAsia="zh-CN"/>
              </w:rPr>
            </w:pPr>
            <w:r>
              <w:rPr>
                <w:rFonts w:hint="eastAsia" w:ascii="仿宋_GB2312" w:hAnsi="仿宋" w:eastAsia="仿宋_GB2312"/>
                <w:b w:val="0"/>
                <w:bCs/>
                <w:sz w:val="28"/>
                <w:szCs w:val="28"/>
                <w:lang w:val="en-US" w:eastAsia="zh-CN"/>
              </w:rPr>
              <w:t>既然选择了远方，便只顾风雨兼程。在平凡的三尺讲台上，葛老师以春蚕的精神、蜡烛的品格，诠释着一名优秀人民教师永无止境的奉献与追求。</w:t>
            </w: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ind w:firstLine="560"/>
              <w:jc w:val="left"/>
              <w:rPr>
                <w:rFonts w:hint="eastAsia" w:ascii="仿宋_GB2312" w:hAnsi="仿宋" w:eastAsia="仿宋_GB2312"/>
                <w:b w:val="0"/>
                <w:bCs/>
                <w:sz w:val="28"/>
                <w:szCs w:val="28"/>
                <w:lang w:val="en-US" w:eastAsia="zh-CN"/>
              </w:rPr>
            </w:pPr>
          </w:p>
          <w:p>
            <w:pPr>
              <w:spacing w:line="520" w:lineRule="exact"/>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057" w:type="dxa"/>
            <w:gridSpan w:val="15"/>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400" w:lineRule="exact"/>
              <w:ind w:firstLine="6722" w:firstLineChars="2401"/>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45"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79" w:leftChars="171" w:hanging="420" w:hangingChars="150"/>
              <w:rPr>
                <w:rFonts w:ascii="仿宋_GB2312" w:hAnsi="仿宋" w:eastAsia="仿宋_GB2312"/>
                <w:b/>
                <w:sz w:val="28"/>
                <w:szCs w:val="28"/>
              </w:rPr>
            </w:pPr>
            <w:r>
              <w:rPr>
                <w:rFonts w:hint="eastAsia" w:ascii="仿宋_GB2312" w:hAnsi="仿宋" w:eastAsia="仿宋_GB2312"/>
                <w:sz w:val="28"/>
                <w:szCs w:val="28"/>
              </w:rPr>
              <w:t>出席会议</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人，其中同意</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人，反对</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人，弃权</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w:t>
            </w:r>
          </w:p>
          <w:p>
            <w:pPr>
              <w:spacing w:line="560" w:lineRule="exact"/>
              <w:ind w:right="480" w:firstLine="5417" w:firstLineChars="1927"/>
              <w:rPr>
                <w:rFonts w:ascii="仿宋_GB2312" w:hAnsi="仿宋" w:eastAsia="仿宋_GB2312"/>
                <w:b/>
                <w:sz w:val="28"/>
                <w:szCs w:val="28"/>
              </w:rPr>
            </w:pPr>
          </w:p>
          <w:p>
            <w:pPr>
              <w:spacing w:line="560" w:lineRule="exact"/>
              <w:ind w:right="480" w:firstLine="4760" w:firstLineChars="1700"/>
              <w:rPr>
                <w:rFonts w:ascii="仿宋_GB2312" w:hAnsi="仿宋" w:eastAsia="仿宋_GB2312"/>
                <w:b/>
                <w:sz w:val="28"/>
                <w:szCs w:val="28"/>
              </w:rPr>
            </w:pPr>
            <w:r>
              <w:rPr>
                <w:rFonts w:hint="eastAsia" w:ascii="仿宋_GB2312" w:hAnsi="仿宋" w:eastAsia="仿宋_GB2312"/>
                <w:sz w:val="28"/>
                <w:szCs w:val="28"/>
              </w:rPr>
              <w:t>（签字  盖章）</w:t>
            </w:r>
          </w:p>
          <w:p>
            <w:pPr>
              <w:tabs>
                <w:tab w:val="left" w:pos="5969"/>
                <w:tab w:val="left" w:pos="6149"/>
              </w:tabs>
              <w:wordWrap w:val="0"/>
              <w:spacing w:line="520" w:lineRule="exact"/>
              <w:jc w:val="right"/>
              <w:rPr>
                <w:rFonts w:ascii="仿宋_GB2312" w:hAnsi="仿宋" w:eastAsia="仿宋_GB2312"/>
                <w:b/>
                <w:sz w:val="28"/>
                <w:szCs w:val="28"/>
              </w:rPr>
            </w:pPr>
            <w:r>
              <w:rPr>
                <w:rFonts w:hint="eastAsia" w:ascii="仿宋_GB2312" w:hAnsi="仿宋" w:eastAsia="仿宋_GB2312"/>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03"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03" w:hRule="atLeast"/>
        </w:trPr>
        <w:tc>
          <w:tcPr>
            <w:tcW w:w="1689"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368"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E02B3"/>
    <w:multiLevelType w:val="singleLevel"/>
    <w:tmpl w:val="0B5E02B3"/>
    <w:lvl w:ilvl="0" w:tentative="0">
      <w:start w:val="1"/>
      <w:numFmt w:val="bullet"/>
      <w:lvlText w:val=""/>
      <w:lvlJc w:val="left"/>
      <w:pPr>
        <w:ind w:left="420" w:hanging="420"/>
      </w:pPr>
      <w:rPr>
        <w:rFonts w:hint="default" w:ascii="Wingdings" w:hAnsi="Wingdings"/>
      </w:rPr>
    </w:lvl>
  </w:abstractNum>
  <w:abstractNum w:abstractNumId="1">
    <w:nsid w:val="1F484797"/>
    <w:multiLevelType w:val="singleLevel"/>
    <w:tmpl w:val="1F484797"/>
    <w:lvl w:ilvl="0" w:tentative="0">
      <w:start w:val="1"/>
      <w:numFmt w:val="bullet"/>
      <w:lvlText w:val=""/>
      <w:lvlJc w:val="left"/>
      <w:pPr>
        <w:ind w:left="420" w:hanging="420"/>
      </w:pPr>
      <w:rPr>
        <w:rFonts w:hint="default" w:ascii="Wingdings" w:hAnsi="Wingdings"/>
      </w:rPr>
    </w:lvl>
  </w:abstractNum>
  <w:abstractNum w:abstractNumId="2">
    <w:nsid w:val="637BF2B4"/>
    <w:multiLevelType w:val="singleLevel"/>
    <w:tmpl w:val="637BF2B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E6890"/>
    <w:rsid w:val="016B2F9D"/>
    <w:rsid w:val="17010C78"/>
    <w:rsid w:val="25A75003"/>
    <w:rsid w:val="2A55460C"/>
    <w:rsid w:val="32517EBB"/>
    <w:rsid w:val="3CD96B9E"/>
    <w:rsid w:val="46062EC5"/>
    <w:rsid w:val="46524056"/>
    <w:rsid w:val="507648E5"/>
    <w:rsid w:val="542F3486"/>
    <w:rsid w:val="56D42605"/>
    <w:rsid w:val="61D714A0"/>
    <w:rsid w:val="645E6890"/>
    <w:rsid w:val="6AAC557F"/>
    <w:rsid w:val="6AF8257A"/>
    <w:rsid w:val="7A9D1C70"/>
    <w:rsid w:val="7D1B0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0" w:after="135" w:afterAutospacing="0" w:line="450" w:lineRule="atLeast"/>
      <w:ind w:left="0" w:right="0"/>
      <w:jc w:val="left"/>
    </w:pPr>
    <w:rPr>
      <w:color w:val="393939"/>
      <w:kern w:val="0"/>
      <w:sz w:val="21"/>
      <w:szCs w:val="21"/>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93939"/>
      <w:u w:val="none"/>
    </w:rPr>
  </w:style>
  <w:style w:type="character" w:styleId="7">
    <w:name w:val="Emphasis"/>
    <w:basedOn w:val="4"/>
    <w:qFormat/>
    <w:uiPriority w:val="0"/>
    <w:rPr>
      <w:i/>
    </w:rPr>
  </w:style>
  <w:style w:type="character" w:styleId="8">
    <w:name w:val="Hyperlink"/>
    <w:basedOn w:val="4"/>
    <w:uiPriority w:val="0"/>
    <w:rPr>
      <w:color w:val="393939"/>
      <w:u w:val="none"/>
    </w:rPr>
  </w:style>
  <w:style w:type="character" w:styleId="9">
    <w:name w:val="HTML Code"/>
    <w:basedOn w:val="4"/>
    <w:qFormat/>
    <w:uiPriority w:val="0"/>
    <w:rPr>
      <w:rFonts w:ascii="Courier New" w:hAnsi="Courier New" w:eastAsia="Courier New" w:cs="Courier New"/>
      <w:color w:val="DD1144"/>
      <w:sz w:val="18"/>
      <w:szCs w:val="18"/>
      <w:bdr w:val="single" w:color="E1E1E8" w:sz="6" w:space="0"/>
      <w:shd w:val="clear" w:fill="F7F7F9"/>
    </w:rPr>
  </w:style>
  <w:style w:type="character" w:styleId="10">
    <w:name w:val="HTML Cit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2019-06-12T13:45:00Z</dcterms:created>
  <dc:creator>葛干忠</dc:creator>
  <cp:lastModifiedBy>葛干忠</cp:lastModifiedBy>
  <dcterms:modified xsi:type="dcterms:W3CDTF">2019-06-18T01:49:54Z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