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50" w:beforeAutospacing="0" w:afterLines="50" w:afterAutospacing="0" w:line="480" w:lineRule="exact"/>
        <w:jc w:val="center"/>
        <w:rPr>
          <w:rStyle w:val="8"/>
          <w:rFonts w:hint="eastAsia" w:ascii="黑体" w:hAnsi="黑体" w:eastAsia="黑体" w:cs="黑体"/>
          <w:color w:val="auto"/>
          <w:sz w:val="36"/>
          <w:szCs w:val="36"/>
          <w:shd w:val="clear" w:color="auto" w:fill="FFFFFF"/>
          <w:lang w:val="en-US"/>
        </w:rPr>
      </w:pPr>
    </w:p>
    <w:p>
      <w:pPr>
        <w:pStyle w:val="6"/>
        <w:spacing w:beforeLines="50" w:beforeAutospacing="0" w:afterLines="50" w:afterAutospacing="0" w:line="480" w:lineRule="exact"/>
        <w:jc w:val="center"/>
        <w:rPr>
          <w:rStyle w:val="8"/>
          <w:rFonts w:ascii="黑体" w:hAnsi="黑体" w:eastAsia="黑体" w:cs="黑体"/>
          <w:color w:val="auto"/>
          <w:sz w:val="36"/>
          <w:szCs w:val="36"/>
          <w:shd w:val="clear" w:color="auto" w:fill="FFFFFF"/>
          <w:lang w:val="en-US"/>
        </w:rPr>
      </w:pPr>
      <w:r>
        <w:rPr>
          <w:rStyle w:val="8"/>
          <w:rFonts w:hint="eastAsia" w:ascii="黑体" w:hAnsi="黑体" w:eastAsia="黑体" w:cs="黑体"/>
          <w:color w:val="auto"/>
          <w:sz w:val="36"/>
          <w:szCs w:val="36"/>
          <w:shd w:val="clear" w:color="auto" w:fill="FFFFFF"/>
          <w:lang w:val="en-US"/>
        </w:rPr>
        <w:t>CFA®&amp;FRM®方向班常见问题解答</w:t>
      </w:r>
    </w:p>
    <w:p>
      <w:pPr>
        <w:pStyle w:val="3"/>
        <w:spacing w:before="10" w:afterLines="50" w:line="440" w:lineRule="exact"/>
        <w:ind w:left="119" w:right="210"/>
        <w:rPr>
          <w:rFonts w:ascii="黑体" w:hAnsi="黑体" w:eastAsia="黑体" w:cs="黑体"/>
          <w:color w:val="auto"/>
          <w:spacing w:val="-10"/>
          <w:sz w:val="30"/>
          <w:szCs w:val="30"/>
          <w:lang w:val="en-US"/>
        </w:rPr>
      </w:pPr>
    </w:p>
    <w:p>
      <w:pPr>
        <w:pStyle w:val="3"/>
        <w:spacing w:before="10" w:afterLines="50" w:line="440" w:lineRule="exact"/>
        <w:ind w:left="119" w:right="210"/>
        <w:rPr>
          <w:rFonts w:ascii="黑体" w:hAnsi="黑体" w:eastAsia="黑体" w:cs="黑体"/>
          <w:color w:val="auto"/>
          <w:spacing w:val="-10"/>
          <w:sz w:val="30"/>
          <w:szCs w:val="30"/>
          <w:lang w:val="en-US"/>
        </w:rPr>
      </w:pPr>
      <w:r>
        <w:rPr>
          <w:rFonts w:hint="eastAsia" w:ascii="黑体" w:hAnsi="黑体" w:eastAsia="黑体" w:cs="黑体"/>
          <w:color w:val="auto"/>
          <w:spacing w:val="-10"/>
          <w:sz w:val="30"/>
          <w:szCs w:val="30"/>
          <w:lang w:val="en-US"/>
        </w:rPr>
        <w:t>一、CFA&amp;FRM是什么？CFA&amp;FRM在国</w:t>
      </w:r>
      <w:bookmarkStart w:id="0" w:name="_GoBack"/>
      <w:bookmarkEnd w:id="0"/>
      <w:r>
        <w:rPr>
          <w:rFonts w:hint="eastAsia" w:ascii="黑体" w:hAnsi="黑体" w:eastAsia="黑体" w:cs="黑体"/>
          <w:color w:val="auto"/>
          <w:spacing w:val="-10"/>
          <w:sz w:val="30"/>
          <w:szCs w:val="30"/>
          <w:lang w:val="en-US"/>
        </w:rPr>
        <w:t>际上认可度如何？</w:t>
      </w:r>
    </w:p>
    <w:p>
      <w:pPr>
        <w:pStyle w:val="3"/>
        <w:spacing w:before="43" w:line="440" w:lineRule="exact"/>
        <w:ind w:right="210"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CFA的全称为 Chartered Financial Analyst (特许金融分析师)</w:t>
      </w:r>
      <w:r>
        <w:rPr>
          <w:rFonts w:hint="eastAsia" w:ascii="仿宋" w:hAnsi="仿宋" w:eastAsia="仿宋" w:cs="仿宋"/>
          <w:color w:val="auto"/>
          <w:spacing w:val="-10"/>
          <w:szCs w:val="24"/>
          <w:lang w:val="en-US"/>
        </w:rPr>
        <w:t>，是由美国投资管理与研究协会</w:t>
      </w:r>
      <w:r>
        <w:rPr>
          <w:rFonts w:ascii="仿宋" w:hAnsi="仿宋" w:eastAsia="仿宋" w:cs="仿宋"/>
          <w:color w:val="auto"/>
          <w:spacing w:val="-10"/>
          <w:szCs w:val="24"/>
          <w:lang w:val="en-US"/>
        </w:rPr>
        <w:t>(AIMR)于1963年设立的特许金融分析师资格证书考试</w:t>
      </w:r>
      <w:r>
        <w:rPr>
          <w:rFonts w:hint="eastAsia" w:ascii="仿宋" w:hAnsi="仿宋" w:eastAsia="仿宋" w:cs="仿宋"/>
          <w:color w:val="auto"/>
          <w:spacing w:val="-10"/>
          <w:szCs w:val="24"/>
          <w:lang w:val="en-US"/>
        </w:rPr>
        <w:t>，</w:t>
      </w:r>
      <w:r>
        <w:rPr>
          <w:rFonts w:hint="eastAsia" w:ascii="仿宋" w:hAnsi="仿宋" w:eastAsia="仿宋" w:cs="仿宋"/>
          <w:color w:val="auto"/>
          <w:spacing w:val="-10"/>
          <w:szCs w:val="24"/>
          <w:lang w:val="en-US"/>
        </w:rPr>
        <w:t>是全球投资业里最为严格与含金量最高的资格认证，为全球投资业在道德操守、专业标准及知识体系等方面设立了规范与标准。自1962年设立CFA课程以来，对投资知识、准则及道德设立了全球性的标准，被广泛认知与认可。《金融时报》杂志于2006年将CFA®®专业资格比喻成投资专才的“黄金标准”，“金融第一考”，持证者年薪可达百万。CFA持证人可在各大投资公司、各类基金公司、投资银行和大型</w:t>
      </w:r>
      <w:r>
        <w:rPr>
          <w:rFonts w:hint="eastAsia" w:ascii="仿宋" w:hAnsi="仿宋" w:eastAsia="仿宋" w:cs="仿宋"/>
          <w:color w:val="auto"/>
          <w:spacing w:val="-10"/>
          <w:szCs w:val="24"/>
          <w:lang w:val="en-US"/>
        </w:rPr>
        <w:t>商业</w:t>
      </w:r>
      <w:r>
        <w:rPr>
          <w:rFonts w:hint="eastAsia" w:ascii="仿宋" w:hAnsi="仿宋" w:eastAsia="仿宋" w:cs="仿宋"/>
          <w:color w:val="auto"/>
          <w:spacing w:val="-10"/>
          <w:szCs w:val="24"/>
          <w:lang w:val="en-US"/>
        </w:rPr>
        <w:t>银行、证券公司、咨询公司、各类会计师事务所、保险公司及各类大型企业等单位就职。</w:t>
      </w:r>
      <w:r>
        <w:rPr>
          <w:rFonts w:hint="eastAsia" w:ascii="仿宋" w:hAnsi="仿宋" w:eastAsia="仿宋" w:cs="仿宋"/>
          <w:color w:val="auto"/>
          <w:spacing w:val="-10"/>
          <w:szCs w:val="24"/>
          <w:lang w:val="en-US"/>
        </w:rPr>
        <w:t>我国于</w:t>
      </w:r>
      <w:r>
        <w:rPr>
          <w:rFonts w:ascii="仿宋" w:hAnsi="仿宋" w:eastAsia="仿宋" w:cs="仿宋"/>
          <w:color w:val="auto"/>
          <w:spacing w:val="-10"/>
          <w:szCs w:val="24"/>
          <w:lang w:val="en-US"/>
        </w:rPr>
        <w:t>1996年引入CFA</w:t>
      </w:r>
      <w:r>
        <w:rPr>
          <w:rFonts w:hint="eastAsia" w:ascii="仿宋" w:hAnsi="仿宋" w:eastAsia="仿宋" w:cs="仿宋"/>
          <w:color w:val="auto"/>
          <w:spacing w:val="-10"/>
          <w:szCs w:val="24"/>
          <w:lang w:val="en-US"/>
        </w:rPr>
        <w:t>证书</w:t>
      </w:r>
      <w:r>
        <w:rPr>
          <w:rFonts w:ascii="仿宋" w:hAnsi="仿宋" w:eastAsia="仿宋" w:cs="仿宋"/>
          <w:color w:val="auto"/>
          <w:spacing w:val="-10"/>
          <w:szCs w:val="24"/>
          <w:lang w:val="en-US"/>
        </w:rPr>
        <w:t>考试</w:t>
      </w:r>
      <w:r>
        <w:rPr>
          <w:rFonts w:hint="eastAsia" w:ascii="仿宋" w:hAnsi="仿宋" w:eastAsia="仿宋" w:cs="仿宋"/>
          <w:color w:val="auto"/>
          <w:spacing w:val="-10"/>
          <w:szCs w:val="24"/>
          <w:lang w:val="en-US"/>
        </w:rPr>
        <w:t>。</w:t>
      </w:r>
    </w:p>
    <w:p>
      <w:pPr>
        <w:pStyle w:val="3"/>
        <w:spacing w:before="43" w:line="440" w:lineRule="exact"/>
        <w:ind w:right="211"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FRM的全称为Financial Risk Manager (金融风险管理师)</w:t>
      </w:r>
      <w:r>
        <w:rPr>
          <w:rFonts w:hint="eastAsia" w:ascii="仿宋" w:hAnsi="仿宋" w:eastAsia="仿宋" w:cs="仿宋"/>
          <w:color w:val="auto"/>
          <w:spacing w:val="-10"/>
          <w:szCs w:val="24"/>
          <w:lang w:val="en-US"/>
        </w:rPr>
        <w:t>，是金融风险管理领域的一种资格认证，由美国“全球风险协会”（GARP）设立。</w:t>
      </w:r>
      <w:r>
        <w:rPr>
          <w:rFonts w:hint="eastAsia" w:ascii="仿宋" w:hAnsi="仿宋" w:eastAsia="仿宋" w:cs="仿宋"/>
          <w:color w:val="auto"/>
          <w:spacing w:val="-10"/>
          <w:szCs w:val="24"/>
          <w:lang w:val="en-US"/>
        </w:rPr>
        <w:t>风险管理涵盖风险管理概论、数量分析、金融市场与金融产品、定价与风险模型、市场风险测度与管理、信用风险测度与管理、操作风险测度与管理、基金投资风险、会计、法律等众多内容。风险管理攸关金融机构及其投资人的命运，FRM作为全球瞩目的国际认可的金融风险管理证照，日益受到国家金融监管机构以及各家金融机构的重视，在国内，</w:t>
      </w:r>
      <w:r>
        <w:rPr>
          <w:rFonts w:ascii="仿宋" w:hAnsi="仿宋" w:eastAsia="仿宋" w:cs="仿宋"/>
          <w:color w:val="auto"/>
          <w:spacing w:val="-10"/>
          <w:szCs w:val="24"/>
          <w:lang w:val="en-US"/>
        </w:rPr>
        <w:t>FRM正日益受到国家金融监管机构以及各家金融机构的重视。对于金融监管层，中国人民银行</w:t>
      </w:r>
      <w:r>
        <w:rPr>
          <w:rFonts w:hint="eastAsia" w:ascii="仿宋" w:hAnsi="仿宋" w:eastAsia="仿宋" w:cs="仿宋"/>
          <w:color w:val="auto"/>
          <w:spacing w:val="-10"/>
          <w:szCs w:val="24"/>
          <w:lang w:val="en-US"/>
        </w:rPr>
        <w:t>、</w:t>
      </w:r>
      <w:r>
        <w:rPr>
          <w:rFonts w:ascii="仿宋" w:hAnsi="仿宋" w:eastAsia="仿宋" w:cs="仿宋"/>
          <w:color w:val="auto"/>
          <w:spacing w:val="-10"/>
          <w:szCs w:val="24"/>
          <w:lang w:val="en-US"/>
        </w:rPr>
        <w:t>中国银</w:t>
      </w:r>
      <w:r>
        <w:rPr>
          <w:rFonts w:hint="eastAsia" w:ascii="仿宋" w:hAnsi="仿宋" w:eastAsia="仿宋" w:cs="仿宋"/>
          <w:color w:val="auto"/>
          <w:spacing w:val="-10"/>
          <w:szCs w:val="24"/>
          <w:lang w:val="en-US"/>
        </w:rPr>
        <w:t>保</w:t>
      </w:r>
      <w:r>
        <w:rPr>
          <w:rFonts w:ascii="仿宋" w:hAnsi="仿宋" w:eastAsia="仿宋" w:cs="仿宋"/>
          <w:color w:val="auto"/>
          <w:spacing w:val="-10"/>
          <w:szCs w:val="24"/>
          <w:lang w:val="en-US"/>
        </w:rPr>
        <w:t>监会</w:t>
      </w:r>
      <w:r>
        <w:rPr>
          <w:rFonts w:hint="eastAsia" w:ascii="仿宋" w:hAnsi="仿宋" w:eastAsia="仿宋" w:cs="仿宋"/>
          <w:color w:val="auto"/>
          <w:spacing w:val="-10"/>
          <w:szCs w:val="24"/>
          <w:lang w:val="en-US"/>
        </w:rPr>
        <w:t>、中国证监会</w:t>
      </w:r>
      <w:r>
        <w:rPr>
          <w:rFonts w:ascii="仿宋" w:hAnsi="仿宋" w:eastAsia="仿宋" w:cs="仿宋"/>
          <w:color w:val="auto"/>
          <w:spacing w:val="-10"/>
          <w:szCs w:val="24"/>
          <w:lang w:val="en-US"/>
        </w:rPr>
        <w:t>均把金融风险管理、维系金融稳定作为银行监管的重中之重。对于大型金融机构，</w:t>
      </w:r>
      <w:r>
        <w:rPr>
          <w:rFonts w:hint="eastAsia" w:ascii="仿宋" w:hAnsi="仿宋" w:eastAsia="仿宋" w:cs="仿宋"/>
          <w:color w:val="auto"/>
          <w:spacing w:val="-10"/>
          <w:szCs w:val="24"/>
          <w:lang w:val="en-US"/>
        </w:rPr>
        <w:t>如</w:t>
      </w:r>
      <w:r>
        <w:rPr>
          <w:rFonts w:ascii="仿宋" w:hAnsi="仿宋" w:eastAsia="仿宋" w:cs="仿宋"/>
          <w:color w:val="auto"/>
          <w:spacing w:val="-10"/>
          <w:szCs w:val="24"/>
          <w:lang w:val="en-US"/>
        </w:rPr>
        <w:t>中国工商银行、中国建设银行、中国银行等国有商业银行将风险管理作为贯穿整个银行经营的核心。同时，各大证券公司也对金融市场的资产定价和风险管理高度重视。因此，金融风险</w:t>
      </w:r>
      <w:r>
        <w:rPr>
          <w:rFonts w:hint="eastAsia" w:ascii="仿宋" w:hAnsi="仿宋" w:eastAsia="仿宋" w:cs="仿宋"/>
          <w:color w:val="auto"/>
          <w:spacing w:val="-10"/>
          <w:szCs w:val="24"/>
          <w:lang w:val="en-US"/>
        </w:rPr>
        <w:t>管理</w:t>
      </w:r>
      <w:r>
        <w:rPr>
          <w:rFonts w:ascii="仿宋" w:hAnsi="仿宋" w:eastAsia="仿宋" w:cs="仿宋"/>
          <w:color w:val="auto"/>
          <w:spacing w:val="-10"/>
          <w:szCs w:val="24"/>
          <w:lang w:val="en-US"/>
        </w:rPr>
        <w:t>专业人员的需求日益壮大。</w:t>
      </w:r>
    </w:p>
    <w:p>
      <w:pPr>
        <w:pStyle w:val="3"/>
        <w:spacing w:before="10" w:afterLines="50" w:line="440" w:lineRule="exact"/>
        <w:ind w:left="119" w:right="210"/>
        <w:rPr>
          <w:rFonts w:ascii="黑体" w:hAnsi="黑体" w:eastAsia="黑体" w:cs="黑体"/>
          <w:color w:val="auto"/>
          <w:spacing w:val="-10"/>
          <w:sz w:val="28"/>
          <w:szCs w:val="28"/>
          <w:lang w:val="en-US"/>
        </w:rPr>
      </w:pPr>
    </w:p>
    <w:p>
      <w:pPr>
        <w:pStyle w:val="3"/>
        <w:spacing w:before="10" w:afterLines="50" w:line="440" w:lineRule="exact"/>
        <w:ind w:left="119" w:right="210"/>
        <w:rPr>
          <w:rFonts w:ascii="黑体" w:hAnsi="黑体" w:eastAsia="黑体" w:cs="黑体"/>
          <w:color w:val="auto"/>
          <w:spacing w:val="-10"/>
          <w:sz w:val="28"/>
          <w:szCs w:val="28"/>
          <w:lang w:val="en-US"/>
        </w:rPr>
      </w:pPr>
      <w:r>
        <w:rPr>
          <w:rFonts w:hint="eastAsia" w:ascii="黑体" w:hAnsi="黑体" w:eastAsia="黑体" w:cs="黑体"/>
          <w:color w:val="auto"/>
          <w:spacing w:val="-10"/>
          <w:sz w:val="28"/>
          <w:szCs w:val="28"/>
          <w:lang w:val="en-US"/>
        </w:rPr>
        <w:t>二、CFA协会和GARP协会是个什么样的组织？</w:t>
      </w:r>
    </w:p>
    <w:p>
      <w:pPr>
        <w:pStyle w:val="3"/>
        <w:spacing w:before="43" w:line="440" w:lineRule="exact"/>
        <w:ind w:right="211"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美国CFA协会，其前身是美国投资管理研究协会（AIMR），是一个全球性非盈利机构，</w:t>
      </w:r>
      <w:r>
        <w:rPr>
          <w:rFonts w:hint="eastAsia" w:ascii="仿宋" w:hAnsi="仿宋" w:eastAsia="仿宋" w:cs="仿宋"/>
          <w:color w:val="auto"/>
          <w:spacing w:val="-10"/>
          <w:szCs w:val="24"/>
          <w:lang w:val="en-US"/>
        </w:rPr>
        <w:t>其使命是建立并保持专业的精益求精以及诚信的最高标准，来促进全球投资行业的发展。CFA®协会于1962年设立CFA®考试课程，专为投资专家、证券分析师、基金管理人和投资顾问而设，考试课程达到研究生水平。其考试重点是国际最前沿的金融理论和技术，范围包括投资分析、投资组合管理、财务报表分析、企业财务、经济学、投资表现评估及专业道德操守。 </w:t>
      </w:r>
    </w:p>
    <w:p>
      <w:pPr>
        <w:pStyle w:val="3"/>
        <w:spacing w:before="43" w:line="440" w:lineRule="exact"/>
        <w:ind w:right="211"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GARP协会是美国的“全球风险管理协会”</w:t>
      </w:r>
      <w:r>
        <w:rPr>
          <w:rFonts w:hint="eastAsia" w:ascii="仿宋" w:hAnsi="仿宋" w:eastAsia="仿宋" w:cs="仿宋"/>
          <w:b/>
          <w:bCs/>
          <w:color w:val="auto"/>
          <w:spacing w:val="-10"/>
          <w:szCs w:val="24"/>
          <w:lang w:val="en-US"/>
        </w:rPr>
        <w:t>，全称是The Global Association of Risk Professionals。</w:t>
      </w:r>
      <w:r>
        <w:rPr>
          <w:rFonts w:hint="eastAsia" w:ascii="仿宋" w:hAnsi="仿宋" w:eastAsia="仿宋" w:cs="仿宋"/>
          <w:color w:val="auto"/>
          <w:spacing w:val="-10"/>
          <w:szCs w:val="24"/>
          <w:lang w:val="en-US"/>
        </w:rPr>
        <w:t>GARP协会是一个非盈利独立机构，是国际清算银行在风险管理方面的主要咨询机构之一，其宗旨是促进风险管理方面的信息交流、开展风险管理的资格认证考试、制定金融风险管理领域的技术规范和评价标准。 GARP自1997年开始实施的金融风险管理师(FRM®)资格认证考试，已经得到欧美跨国金融公司、监管机构，特别是华尔街的认可和支持。如今，FRM®资格证书已经成为众多国际金融机构和跨国公司风险管理部门的从业要求之一。 为推动中国风险管理的发展，GARP于2001年在北京建立了中国地区分部，设立了北京考试中心，并于2002年实施了中国大陆的第一次全球统一考试，取得了成功。国内金融监管部门、金融机构和大型企业均表达了对FRM®考试的高度重视，并准备采取措施培养国际化的风险管理专业人才，以提供风险管理水平，提升核心竞争力。</w:t>
      </w:r>
    </w:p>
    <w:p>
      <w:pPr>
        <w:pStyle w:val="3"/>
        <w:spacing w:before="43"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GARP协会鼓励并致力于促进风险从业者、研究人员、监管者之间的交流，通过发布公告、时事通讯、杂志、电子出版物等多种形式，尤其是FRM®职业资格认证考试，旨在凸现风险管理的重要性和紧迫性，并确立GARP在全球风险管理领域的权威机构地位，增加全球认同度。</w:t>
      </w:r>
    </w:p>
    <w:p>
      <w:pPr>
        <w:pStyle w:val="3"/>
        <w:spacing w:before="43" w:line="440" w:lineRule="exact"/>
        <w:ind w:right="211" w:firstLine="440" w:firstLineChars="200"/>
        <w:rPr>
          <w:rFonts w:eastAsia="宋体"/>
          <w:color w:val="auto"/>
          <w:spacing w:val="-10"/>
          <w:szCs w:val="24"/>
          <w:lang w:val="en-US"/>
        </w:rPr>
      </w:pPr>
    </w:p>
    <w:p>
      <w:pPr>
        <w:pStyle w:val="3"/>
        <w:spacing w:before="10" w:afterLines="50" w:line="440" w:lineRule="exact"/>
        <w:ind w:left="119" w:right="210"/>
        <w:rPr>
          <w:rFonts w:ascii="黑体" w:hAnsi="黑体" w:eastAsia="黑体" w:cs="黑体"/>
          <w:color w:val="auto"/>
          <w:spacing w:val="-10"/>
          <w:sz w:val="30"/>
          <w:szCs w:val="30"/>
          <w:lang w:val="en-US"/>
        </w:rPr>
      </w:pPr>
      <w:r>
        <w:rPr>
          <w:rFonts w:hint="eastAsia" w:ascii="黑体" w:hAnsi="黑体" w:eastAsia="黑体" w:cs="黑体"/>
          <w:color w:val="auto"/>
          <w:spacing w:val="-10"/>
          <w:sz w:val="30"/>
          <w:szCs w:val="30"/>
          <w:lang w:val="en-US"/>
        </w:rPr>
        <w:t>三、CFA®&amp;FRM®雇主都有哪些机构？CFA®&amp;FRM®学员适用于什么公司及职业？  </w:t>
      </w:r>
    </w:p>
    <w:p>
      <w:pPr>
        <w:pStyle w:val="3"/>
        <w:spacing w:beforeLines="50" w:afterLines="50" w:line="440" w:lineRule="exact"/>
        <w:ind w:left="0" w:right="210"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1、全球CFA®&amp;FRM®专业人员的最大雇主：</w:t>
      </w:r>
      <w:r>
        <w:rPr>
          <w:rFonts w:hint="eastAsia" w:ascii="仿宋" w:hAnsi="仿宋" w:eastAsia="仿宋" w:cs="仿宋"/>
          <w:color w:val="auto"/>
          <w:spacing w:val="-10"/>
          <w:szCs w:val="24"/>
          <w:lang w:val="en-US"/>
        </w:rPr>
        <w:t>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美银美林、摩根士丹利、富达投资集团、JP摩根资产、瑞银集团、贝莱德集团、汇丰银行、花旗集团及富兰克林邓普顿基金集团。  </w:t>
      </w:r>
    </w:p>
    <w:p>
      <w:pPr>
        <w:pStyle w:val="3"/>
        <w:spacing w:beforeLines="50" w:afterLines="50" w:line="440" w:lineRule="exact"/>
        <w:ind w:right="211"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2、国内CFA®&amp;FRM®持证人最大雇主：</w:t>
      </w:r>
      <w:r>
        <w:rPr>
          <w:rFonts w:hint="eastAsia" w:ascii="仿宋" w:hAnsi="仿宋" w:eastAsia="仿宋" w:cs="仿宋"/>
          <w:color w:val="auto"/>
          <w:spacing w:val="-10"/>
          <w:szCs w:val="24"/>
          <w:lang w:val="en-US"/>
        </w:rPr>
        <w:t>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汇丰银行、花旗银行、中信证券、西南证券、招商局集团、工商银行、中国银行、华夏基金，汇添富基金、中国国际金融有限公司等国际国内著名金融构。  </w:t>
      </w:r>
    </w:p>
    <w:p>
      <w:pPr>
        <w:pStyle w:val="3"/>
        <w:spacing w:beforeLines="50" w:afterLines="50" w:line="440" w:lineRule="exact"/>
        <w:ind w:right="211" w:firstLine="442" w:firstLineChars="200"/>
        <w:rPr>
          <w:rFonts w:ascii="仿宋" w:hAnsi="仿宋" w:eastAsia="仿宋" w:cs="仿宋"/>
          <w:color w:val="auto"/>
          <w:spacing w:val="-10"/>
          <w:szCs w:val="24"/>
          <w:lang w:val="en-US"/>
        </w:rPr>
      </w:pPr>
      <w:r>
        <w:rPr>
          <w:rFonts w:hint="eastAsia" w:ascii="仿宋" w:hAnsi="仿宋" w:eastAsia="仿宋" w:cs="仿宋"/>
          <w:b/>
          <w:bCs/>
          <w:color w:val="auto"/>
          <w:spacing w:val="-10"/>
          <w:szCs w:val="24"/>
          <w:lang w:val="en-US"/>
        </w:rPr>
        <w:t>3、拥有CFA®证书，将可以从事如下工作： </w:t>
      </w:r>
      <w:r>
        <w:rPr>
          <w:rFonts w:hint="eastAsia" w:ascii="仿宋" w:hAnsi="仿宋" w:eastAsia="仿宋" w:cs="仿宋"/>
          <w:color w:val="auto"/>
          <w:spacing w:val="-10"/>
          <w:szCs w:val="24"/>
          <w:lang w:val="en-US"/>
        </w:rPr>
        <w:t>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投资银行：研究部分析师；固定收益部分析师与交易员；资本市场部或交易部产品经理及交易员；投资银行部上市顾问。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基金公司：研究部行业、策略与宏观分析师，投资部投资经理，销售与市场部销售经理。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商业银行：投资银行部并购交易、债券发行、财务顾问、行业研究人员；全球金融市场部外汇交易、衍生品交易、国际债券交易等交易员以及资金运营人员；资产管理部投资经理、产品设计经理，资产负债部门资金系统管理、外汇管理、资本数据分析员等。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保险公司：资产管理公司债券、股票投资经理以及另类资产投资经理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私募股权公司：项目经理、投资经理。  </w:t>
      </w:r>
    </w:p>
    <w:p>
      <w:pPr>
        <w:pStyle w:val="3"/>
        <w:spacing w:beforeLines="50" w:afterLines="50"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信托公司：信托经理。  </w:t>
      </w:r>
    </w:p>
    <w:p>
      <w:pPr>
        <w:pStyle w:val="3"/>
        <w:spacing w:beforeLines="50" w:afterLines="50" w:line="440" w:lineRule="exact"/>
        <w:ind w:right="211" w:firstLine="440" w:firstLineChars="200"/>
        <w:rPr>
          <w:b/>
          <w:bCs/>
          <w:color w:val="auto"/>
          <w:sz w:val="28"/>
          <w:szCs w:val="28"/>
          <w:lang w:val="en-US"/>
        </w:rPr>
      </w:pPr>
      <w:r>
        <w:rPr>
          <w:rFonts w:hint="eastAsia" w:ascii="仿宋" w:hAnsi="仿宋" w:eastAsia="仿宋" w:cs="仿宋"/>
          <w:color w:val="auto"/>
          <w:spacing w:val="-10"/>
          <w:szCs w:val="24"/>
          <w:lang w:val="en-US"/>
        </w:rPr>
        <w:t>第三方理财机构：理财经理。</w:t>
      </w:r>
    </w:p>
    <w:p>
      <w:pPr>
        <w:pStyle w:val="3"/>
        <w:spacing w:before="10" w:afterLines="50" w:line="440" w:lineRule="exact"/>
        <w:ind w:left="119" w:right="210"/>
        <w:rPr>
          <w:rFonts w:ascii="黑体" w:hAnsi="黑体" w:eastAsia="黑体" w:cs="黑体"/>
          <w:color w:val="auto"/>
          <w:spacing w:val="-10"/>
          <w:sz w:val="30"/>
          <w:szCs w:val="30"/>
          <w:lang w:val="en-US"/>
        </w:rPr>
      </w:pPr>
    </w:p>
    <w:p>
      <w:pPr>
        <w:pStyle w:val="3"/>
        <w:spacing w:before="10" w:afterLines="50" w:line="440" w:lineRule="exact"/>
        <w:ind w:left="119" w:right="210"/>
        <w:rPr>
          <w:rFonts w:ascii="黑体" w:hAnsi="黑体" w:eastAsia="黑体" w:cs="黑体"/>
          <w:color w:val="auto"/>
          <w:spacing w:val="-10"/>
          <w:sz w:val="30"/>
          <w:szCs w:val="30"/>
          <w:lang w:val="en-US"/>
        </w:rPr>
      </w:pPr>
      <w:r>
        <w:rPr>
          <w:rFonts w:hint="eastAsia" w:ascii="黑体" w:hAnsi="黑体" w:eastAsia="黑体" w:cs="黑体"/>
          <w:color w:val="auto"/>
          <w:spacing w:val="-10"/>
          <w:sz w:val="30"/>
          <w:szCs w:val="30"/>
          <w:lang w:val="en-US"/>
        </w:rPr>
        <w:t>四、就读</w:t>
      </w:r>
      <w:r>
        <w:rPr>
          <w:rFonts w:hint="eastAsia" w:ascii="黑体" w:hAnsi="黑体" w:eastAsia="黑体" w:cs="黑体"/>
          <w:color w:val="auto"/>
          <w:spacing w:val="-10"/>
          <w:sz w:val="30"/>
          <w:szCs w:val="30"/>
          <w:lang w:val="en-US"/>
        </w:rPr>
        <w:t>金融学(CFA&amp;FRM方向班)</w:t>
      </w:r>
      <w:r>
        <w:rPr>
          <w:rFonts w:hint="eastAsia" w:ascii="黑体" w:hAnsi="黑体" w:eastAsia="黑体" w:cs="黑体"/>
          <w:color w:val="auto"/>
          <w:spacing w:val="-10"/>
          <w:sz w:val="30"/>
          <w:szCs w:val="30"/>
          <w:lang w:val="en-US"/>
        </w:rPr>
        <w:t>有什么优势？   </w:t>
      </w:r>
    </w:p>
    <w:p>
      <w:pPr>
        <w:pStyle w:val="3"/>
        <w:spacing w:before="43"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金融学(CFA&amp;FRM方向班)</w:t>
      </w:r>
      <w:r>
        <w:rPr>
          <w:rFonts w:hint="eastAsia" w:ascii="仿宋" w:hAnsi="仿宋" w:eastAsia="仿宋" w:cs="仿宋"/>
          <w:color w:val="auto"/>
          <w:spacing w:val="-10"/>
          <w:szCs w:val="24"/>
          <w:lang w:val="en-US"/>
        </w:rPr>
        <w:t>是由我校与中博教育联合举办。</w:t>
      </w:r>
      <w:r>
        <w:rPr>
          <w:rFonts w:hint="eastAsia" w:ascii="仿宋" w:hAnsi="仿宋" w:eastAsia="仿宋" w:cs="仿宋"/>
          <w:color w:val="auto"/>
          <w:spacing w:val="-10"/>
          <w:szCs w:val="24"/>
          <w:lang w:val="en-US"/>
        </w:rPr>
        <w:t>从专业属性来说，仍是金融学专业，在金融学专业下设立该向班是适应社会对CFA及FRM高端金融人才的需求，</w:t>
      </w:r>
      <w:r>
        <w:rPr>
          <w:rFonts w:hint="eastAsia" w:ascii="仿宋" w:hAnsi="仿宋" w:eastAsia="仿宋" w:cs="仿宋"/>
          <w:color w:val="auto"/>
          <w:spacing w:val="-10"/>
          <w:szCs w:val="24"/>
          <w:lang w:val="en-US"/>
        </w:rPr>
        <w:t>旨在培养具有金融风险管理和金融投资分析等国际高端职业技能的应用型国际化高级金融人才，提升金融学专业毕业生的就业水平和质量。使学生掌握经济与现代金融等方面的基本理论和专业知识，具备扎实的经济、会计、计量统计等方面的理论知识和从事金融风险管理和金融投资分析等方面的能力。能在国内外中大型金融企业(如商业银行、证券公司、保险公司、基金公司、投资银行、期货公司、信托公司)、国内政府机构(如人民银行、银监委[局]、保监委[局]、证监委[局]等)、较大型企业(如大型上市公司)等单位从事金融风险管理和金融投资分析等较高端的岗位工作。   </w:t>
      </w:r>
    </w:p>
    <w:p>
      <w:pPr>
        <w:pStyle w:val="3"/>
        <w:spacing w:before="43"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金融学(CFA&amp;FRM方向班)</w:t>
      </w:r>
      <w:r>
        <w:rPr>
          <w:rFonts w:hint="eastAsia" w:ascii="仿宋" w:hAnsi="仿宋" w:eastAsia="仿宋" w:cs="仿宋"/>
          <w:color w:val="auto"/>
          <w:spacing w:val="-10"/>
          <w:szCs w:val="24"/>
          <w:lang w:val="en-US"/>
        </w:rPr>
        <w:t>按单独的人才培方案培养，融入了CFA®、FRM证书课程，具有与华尔街金融实务同步的知识体系，保证高品质教学效果。 国内顶尖的投资银行、基金、商业银行、私募基金等金融机构师资，丰富的金融从业经验带来不同凡响的课程体验与教学效果。   </w:t>
      </w:r>
    </w:p>
    <w:p>
      <w:pPr>
        <w:pStyle w:val="3"/>
        <w:spacing w:before="43" w:line="440" w:lineRule="exact"/>
        <w:ind w:right="211"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金融学(CFA&amp;FRM方向班)</w:t>
      </w:r>
      <w:r>
        <w:rPr>
          <w:rFonts w:hint="eastAsia" w:ascii="仿宋" w:hAnsi="仿宋" w:eastAsia="仿宋" w:cs="仿宋"/>
          <w:color w:val="auto"/>
          <w:spacing w:val="-10"/>
          <w:szCs w:val="24"/>
          <w:lang w:val="en-US"/>
        </w:rPr>
        <w:t>学生将享有丰富的金融投资前沿知识讲座与实践项目，为学生带来广阔的视野。将定期邀请上海、北京、深圳等国内外著名的金融机构高层管理人员、业界精英为学生举行各类前沿金融知识讲座，开阔眼界，丰富知识。享有优秀的金融机构实习机会与暑期实践项目，为就业带来可靠保证。项目为方向班学生提供难得的金融机构实习名额，丰富学生实习经验，为进入金融机构工作提升自身竞争力。   </w:t>
      </w:r>
    </w:p>
    <w:p>
      <w:pPr>
        <w:pStyle w:val="6"/>
        <w:shd w:val="clear" w:color="auto" w:fill="FFFFFF"/>
        <w:tabs>
          <w:tab w:val="center" w:pos="4325"/>
        </w:tabs>
        <w:spacing w:beforeLines="50" w:beforeAutospacing="0" w:afterLines="50" w:afterAutospacing="0" w:line="440" w:lineRule="exact"/>
        <w:ind w:firstLine="550" w:firstLineChars="250"/>
        <w:rPr>
          <w:b/>
          <w:bCs/>
          <w:color w:val="auto"/>
          <w:sz w:val="28"/>
          <w:szCs w:val="28"/>
          <w:lang w:val="en-US"/>
        </w:rPr>
      </w:pPr>
      <w:r>
        <w:rPr>
          <w:rFonts w:hint="eastAsia" w:ascii="仿宋" w:hAnsi="仿宋" w:eastAsia="仿宋" w:cs="仿宋"/>
          <w:color w:val="auto"/>
          <w:spacing w:val="-10"/>
          <w:lang w:val="en-US"/>
        </w:rPr>
        <w:t>金融学(CFA&amp;FRM方向班)</w:t>
      </w:r>
      <w:r>
        <w:rPr>
          <w:rFonts w:hint="eastAsia" w:ascii="仿宋" w:hAnsi="仿宋" w:eastAsia="仿宋" w:cs="仿宋"/>
          <w:color w:val="auto"/>
          <w:spacing w:val="-10"/>
          <w:lang w:val="en-US"/>
        </w:rPr>
        <w:t>学生通过四年的学习，将具有良好的英语基础、较专业的金融分析及风险管理理论基础和技能，</w:t>
      </w:r>
      <w:r>
        <w:rPr>
          <w:rFonts w:hint="eastAsia" w:ascii="仿宋" w:hAnsi="仿宋" w:eastAsia="仿宋" w:cs="仿宋"/>
          <w:color w:val="auto"/>
          <w:spacing w:val="-10"/>
          <w:lang w:val="en-US"/>
        </w:rPr>
        <w:t>具有较好的就业前景和较高的就业质量。</w:t>
      </w:r>
    </w:p>
    <w:p>
      <w:pPr>
        <w:pStyle w:val="6"/>
        <w:shd w:val="clear" w:color="auto" w:fill="FFFFFF"/>
        <w:tabs>
          <w:tab w:val="center" w:pos="4325"/>
        </w:tabs>
        <w:spacing w:beforeLines="50" w:beforeAutospacing="0" w:afterLines="50" w:afterAutospacing="0" w:line="440" w:lineRule="exact"/>
        <w:rPr>
          <w:rFonts w:ascii="黑体" w:hAnsi="黑体" w:eastAsia="黑体" w:cs="黑体"/>
          <w:color w:val="auto"/>
          <w:sz w:val="30"/>
          <w:szCs w:val="30"/>
          <w:lang w:val="en-US"/>
        </w:rPr>
      </w:pPr>
      <w:r>
        <w:rPr>
          <w:rFonts w:hint="eastAsia" w:ascii="黑体" w:hAnsi="黑体" w:eastAsia="黑体" w:cs="黑体"/>
          <w:color w:val="auto"/>
          <w:sz w:val="30"/>
          <w:szCs w:val="30"/>
          <w:lang w:val="en-US"/>
        </w:rPr>
        <w:t>五、</w:t>
      </w:r>
      <w:r>
        <w:rPr>
          <w:rFonts w:hint="eastAsia" w:ascii="黑体" w:hAnsi="黑体" w:eastAsia="黑体" w:cs="黑体"/>
          <w:color w:val="auto"/>
          <w:spacing w:val="-10"/>
          <w:sz w:val="30"/>
          <w:szCs w:val="30"/>
          <w:lang w:val="en-US"/>
        </w:rPr>
        <w:t>金融学CFA&amp;FRM方向班学生的毕业条件和学位授予条件与金融学专业有何不同？</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金融学</w:t>
      </w:r>
      <w:r>
        <w:rPr>
          <w:rFonts w:ascii="仿宋" w:hAnsi="仿宋" w:eastAsia="仿宋" w:cs="仿宋"/>
          <w:color w:val="auto"/>
          <w:spacing w:val="-10"/>
          <w:szCs w:val="24"/>
          <w:lang w:val="en-US"/>
        </w:rPr>
        <w:t>CFA&amp;FRM方向班</w:t>
      </w:r>
      <w:r>
        <w:rPr>
          <w:rFonts w:hint="eastAsia" w:ascii="仿宋" w:hAnsi="仿宋" w:eastAsia="仿宋" w:cs="仿宋"/>
          <w:color w:val="auto"/>
          <w:spacing w:val="-10"/>
          <w:szCs w:val="24"/>
          <w:lang w:val="en-US"/>
        </w:rPr>
        <w:t>学生</w:t>
      </w:r>
      <w:r>
        <w:rPr>
          <w:rFonts w:ascii="仿宋" w:hAnsi="仿宋" w:eastAsia="仿宋" w:cs="仿宋"/>
          <w:color w:val="auto"/>
          <w:spacing w:val="-10"/>
          <w:szCs w:val="24"/>
          <w:lang w:val="en-US"/>
        </w:rPr>
        <w:t>的毕业条件和学位授予条件与金融学专业</w:t>
      </w:r>
      <w:r>
        <w:rPr>
          <w:rFonts w:hint="eastAsia" w:ascii="仿宋" w:hAnsi="仿宋" w:eastAsia="仿宋" w:cs="仿宋"/>
          <w:color w:val="auto"/>
          <w:spacing w:val="-10"/>
          <w:szCs w:val="24"/>
          <w:lang w:val="en-US"/>
        </w:rPr>
        <w:t>学生和学校其他所有专业的学生均相同。只要满足人才培养方案的学分结构和总学分的要求就可毕业。人才培养方案中所涉及的每学期的证书课程同非证书课程一样，都会进行期末考核，只要考核通过，就获得该课程的学分。只要满足学校统一的学位授予条件，就可获得经济学学士学位。例如，学校目前的学位授予条件主要有：(1)</w:t>
      </w:r>
      <w:r>
        <w:rPr>
          <w:rFonts w:ascii="仿宋" w:hAnsi="仿宋" w:eastAsia="仿宋" w:cs="仿宋"/>
          <w:color w:val="auto"/>
          <w:spacing w:val="-10"/>
          <w:szCs w:val="24"/>
          <w:lang w:val="en-US"/>
        </w:rPr>
        <w:t>拥护中国共产党的领导，拥护社会主义制度，热爱祖</w:t>
      </w:r>
      <w:r>
        <w:rPr>
          <w:rFonts w:hint="eastAsia" w:ascii="仿宋" w:hAnsi="仿宋" w:eastAsia="仿宋" w:cs="仿宋"/>
          <w:color w:val="auto"/>
          <w:spacing w:val="-10"/>
          <w:szCs w:val="24"/>
          <w:lang w:val="en-US"/>
        </w:rPr>
        <w:t>国，遵守宪法、法律、法规，遵守公民和学术道德规范，遵守学校管理制度；(2)</w:t>
      </w:r>
      <w:r>
        <w:rPr>
          <w:rFonts w:ascii="仿宋" w:hAnsi="仿宋" w:eastAsia="仿宋" w:cs="仿宋"/>
          <w:color w:val="auto"/>
          <w:spacing w:val="-10"/>
          <w:szCs w:val="24"/>
          <w:lang w:val="en-US"/>
        </w:rPr>
        <w:t>完成专业人才培养方案所规定各环节的学习，达到人</w:t>
      </w:r>
      <w:r>
        <w:rPr>
          <w:rFonts w:hint="eastAsia" w:ascii="仿宋" w:hAnsi="仿宋" w:eastAsia="仿宋" w:cs="仿宋"/>
          <w:color w:val="auto"/>
          <w:spacing w:val="-10"/>
          <w:szCs w:val="24"/>
          <w:lang w:val="en-US"/>
        </w:rPr>
        <w:t>才培养目标要求，获得本科毕业证书；(3)</w:t>
      </w:r>
      <w:r>
        <w:rPr>
          <w:rFonts w:ascii="仿宋" w:hAnsi="仿宋" w:eastAsia="仿宋" w:cs="仿宋"/>
          <w:color w:val="auto"/>
          <w:spacing w:val="-10"/>
          <w:szCs w:val="24"/>
          <w:lang w:val="en-US"/>
        </w:rPr>
        <w:t>课程学习和毕业论文(设计)的成绩及专业能力获取</w:t>
      </w:r>
      <w:r>
        <w:rPr>
          <w:rFonts w:hint="eastAsia" w:ascii="仿宋" w:hAnsi="仿宋" w:eastAsia="仿宋" w:cs="仿宋"/>
          <w:color w:val="auto"/>
          <w:spacing w:val="-10"/>
          <w:szCs w:val="24"/>
          <w:lang w:val="en-US"/>
        </w:rPr>
        <w:t>情况表明确已较好地掌握</w:t>
      </w:r>
      <w:r>
        <w:rPr>
          <w:rFonts w:ascii="仿宋" w:hAnsi="仿宋" w:eastAsia="仿宋" w:cs="仿宋"/>
          <w:color w:val="auto"/>
          <w:spacing w:val="-10"/>
          <w:szCs w:val="24"/>
          <w:lang w:val="en-US"/>
        </w:rPr>
        <w:t>7本学科的基础理论、基本知识和</w:t>
      </w:r>
      <w:r>
        <w:rPr>
          <w:rFonts w:hint="eastAsia" w:ascii="仿宋" w:hAnsi="仿宋" w:eastAsia="仿宋" w:cs="仿宋"/>
          <w:color w:val="auto"/>
          <w:spacing w:val="-10"/>
          <w:szCs w:val="24"/>
          <w:lang w:val="en-US"/>
        </w:rPr>
        <w:t>基本技能，具有从事科学研究或担负专业技术工作的初步能力；(4)</w:t>
      </w:r>
      <w:r>
        <w:rPr>
          <w:rFonts w:ascii="仿宋" w:hAnsi="仿宋" w:eastAsia="仿宋" w:cs="仿宋"/>
          <w:color w:val="auto"/>
          <w:spacing w:val="-10"/>
          <w:szCs w:val="24"/>
          <w:lang w:val="en-US"/>
        </w:rPr>
        <w:t>在籍期间，课程学分平均加权绩点达到1．8分(含)</w:t>
      </w:r>
      <w:r>
        <w:rPr>
          <w:rFonts w:hint="eastAsia" w:ascii="仿宋" w:hAnsi="仿宋" w:eastAsia="仿宋" w:cs="仿宋"/>
          <w:color w:val="auto"/>
          <w:spacing w:val="-10"/>
          <w:szCs w:val="24"/>
          <w:lang w:val="en-US"/>
        </w:rPr>
        <w:t>以上者；(5)</w:t>
      </w:r>
      <w:r>
        <w:rPr>
          <w:rFonts w:ascii="仿宋" w:hAnsi="仿宋" w:eastAsia="仿宋" w:cs="仿宋"/>
          <w:color w:val="auto"/>
          <w:spacing w:val="-10"/>
          <w:szCs w:val="24"/>
          <w:lang w:val="en-US"/>
        </w:rPr>
        <w:t>具有较高的外语水平，非英语专业类(不合体育、艺</w:t>
      </w:r>
      <w:r>
        <w:rPr>
          <w:rFonts w:hint="eastAsia" w:ascii="仿宋" w:hAnsi="仿宋" w:eastAsia="仿宋" w:cs="仿宋"/>
          <w:color w:val="auto"/>
          <w:spacing w:val="-10"/>
          <w:szCs w:val="24"/>
          <w:lang w:val="en-US"/>
        </w:rPr>
        <w:t>术类专业</w:t>
      </w:r>
      <w:r>
        <w:rPr>
          <w:rFonts w:ascii="仿宋" w:hAnsi="仿宋" w:eastAsia="仿宋" w:cs="仿宋"/>
          <w:color w:val="auto"/>
          <w:spacing w:val="-10"/>
          <w:szCs w:val="24"/>
          <w:lang w:val="en-US"/>
        </w:rPr>
        <w:t>)学生参加全国大学英语四圾考试，成绩达到390</w:t>
      </w:r>
      <w:r>
        <w:rPr>
          <w:rFonts w:hint="eastAsia" w:ascii="仿宋" w:hAnsi="仿宋" w:eastAsia="仿宋" w:cs="仿宋"/>
          <w:color w:val="auto"/>
          <w:spacing w:val="-10"/>
          <w:szCs w:val="24"/>
          <w:lang w:val="en-US"/>
        </w:rPr>
        <w:t>分</w:t>
      </w:r>
      <w:r>
        <w:rPr>
          <w:rFonts w:ascii="仿宋" w:hAnsi="仿宋" w:eastAsia="仿宋" w:cs="仿宋"/>
          <w:color w:val="auto"/>
          <w:spacing w:val="-10"/>
          <w:szCs w:val="24"/>
          <w:lang w:val="en-US"/>
        </w:rPr>
        <w:t>(</w:t>
      </w:r>
      <w:r>
        <w:rPr>
          <w:rFonts w:hint="eastAsia" w:ascii="仿宋" w:hAnsi="仿宋" w:eastAsia="仿宋" w:cs="仿宋"/>
          <w:color w:val="auto"/>
          <w:spacing w:val="-10"/>
          <w:szCs w:val="24"/>
          <w:lang w:val="en-US"/>
        </w:rPr>
        <w:t>含</w:t>
      </w:r>
      <w:r>
        <w:rPr>
          <w:rFonts w:ascii="仿宋" w:hAnsi="仿宋" w:eastAsia="仿宋" w:cs="仿宋"/>
          <w:color w:val="auto"/>
          <w:spacing w:val="-10"/>
          <w:szCs w:val="24"/>
          <w:lang w:val="en-US"/>
        </w:rPr>
        <w:t>)以上</w:t>
      </w:r>
      <w:r>
        <w:rPr>
          <w:rFonts w:hint="eastAsia" w:ascii="仿宋" w:hAnsi="仿宋" w:eastAsia="仿宋" w:cs="仿宋"/>
          <w:color w:val="auto"/>
          <w:spacing w:val="-10"/>
          <w:szCs w:val="24"/>
          <w:lang w:val="en-US"/>
        </w:rPr>
        <w:t>。学生是否能获得毕业证书和学位证书与CFA&amp;FRM证书资格等级考试成绩不挂钩。</w:t>
      </w:r>
    </w:p>
    <w:p>
      <w:pPr>
        <w:pStyle w:val="6"/>
        <w:shd w:val="clear" w:color="auto" w:fill="FFFFFF"/>
        <w:tabs>
          <w:tab w:val="center" w:pos="4325"/>
        </w:tabs>
        <w:spacing w:beforeLines="50" w:beforeAutospacing="0" w:afterLines="50" w:afterAutospacing="0" w:line="440" w:lineRule="exact"/>
        <w:rPr>
          <w:rFonts w:hint="eastAsia" w:ascii="黑体" w:hAnsi="黑体" w:eastAsia="黑体" w:cs="黑体"/>
          <w:color w:val="auto"/>
          <w:sz w:val="30"/>
          <w:szCs w:val="30"/>
          <w:lang w:val="en-US"/>
        </w:rPr>
      </w:pPr>
    </w:p>
    <w:p>
      <w:pPr>
        <w:pStyle w:val="6"/>
        <w:shd w:val="clear" w:color="auto" w:fill="FFFFFF"/>
        <w:tabs>
          <w:tab w:val="center" w:pos="4325"/>
        </w:tabs>
        <w:spacing w:beforeLines="50" w:beforeAutospacing="0" w:afterLines="50" w:afterAutospacing="0" w:line="440" w:lineRule="exact"/>
        <w:rPr>
          <w:rFonts w:ascii="黑体" w:hAnsi="黑体" w:eastAsia="黑体" w:cs="黑体"/>
          <w:color w:val="auto"/>
          <w:sz w:val="30"/>
          <w:szCs w:val="30"/>
          <w:lang w:val="en-US"/>
        </w:rPr>
      </w:pPr>
      <w:r>
        <w:rPr>
          <w:rFonts w:hint="eastAsia" w:ascii="黑体" w:hAnsi="黑体" w:eastAsia="黑体" w:cs="黑体"/>
          <w:color w:val="auto"/>
          <w:sz w:val="30"/>
          <w:szCs w:val="30"/>
          <w:lang w:val="en-US"/>
        </w:rPr>
        <w:t>六、</w:t>
      </w:r>
      <w:r>
        <w:rPr>
          <w:rFonts w:hint="eastAsia" w:ascii="黑体" w:hAnsi="黑体" w:eastAsia="黑体" w:cs="黑体"/>
          <w:color w:val="auto"/>
          <w:spacing w:val="-10"/>
          <w:sz w:val="30"/>
          <w:szCs w:val="30"/>
          <w:lang w:val="en-US"/>
        </w:rPr>
        <w:t>CFA&amp;FRM证书</w:t>
      </w:r>
      <w:r>
        <w:rPr>
          <w:rFonts w:hint="eastAsia" w:ascii="黑体" w:hAnsi="黑体" w:eastAsia="黑体" w:cs="黑体"/>
          <w:color w:val="auto"/>
          <w:sz w:val="30"/>
          <w:szCs w:val="30"/>
          <w:lang w:val="en-US"/>
        </w:rPr>
        <w:t>考试时间是如何安排的？</w:t>
      </w:r>
    </w:p>
    <w:p>
      <w:pPr>
        <w:pStyle w:val="3"/>
        <w:spacing w:beforeLines="50" w:afterLines="50" w:line="440" w:lineRule="exact"/>
        <w:ind w:left="119" w:right="210" w:firstLine="440" w:firstLineChars="200"/>
        <w:rPr>
          <w:rFonts w:hint="eastAsia" w:ascii="仿宋" w:hAnsi="仿宋" w:eastAsia="仿宋" w:cs="仿宋"/>
          <w:color w:val="auto"/>
          <w:spacing w:val="-10"/>
          <w:szCs w:val="24"/>
          <w:lang w:val="en-US"/>
        </w:rPr>
      </w:pPr>
      <w:r>
        <w:rPr>
          <w:rFonts w:hint="eastAsia" w:ascii="仿宋" w:hAnsi="仿宋" w:eastAsia="仿宋" w:cs="仿宋"/>
          <w:color w:val="auto"/>
          <w:spacing w:val="-10"/>
          <w:szCs w:val="24"/>
          <w:lang w:val="en-US"/>
        </w:rPr>
        <w:t>FRM分为FRM一级和FRM二级考试，其全球统考分别在每年的5月和11月。FRM一级和二级可以同时报考，但只有一级通过了，二级才有效。但一般情况下，是先报考一级，等一级通过了，再报考二级。如学习努力，FRM一级和二级在本科就读阶段就可考完并通过，一、二级通过后，再满足一定的条件，就可申请FRM证书。</w:t>
      </w:r>
    </w:p>
    <w:p>
      <w:pPr>
        <w:pStyle w:val="3"/>
        <w:spacing w:beforeLines="50" w:afterLines="50" w:line="440" w:lineRule="exact"/>
        <w:ind w:left="119" w:right="210" w:firstLine="440" w:firstLineChars="200"/>
        <w:rPr>
          <w:rFonts w:hint="eastAsia" w:ascii="仿宋" w:hAnsi="仿宋" w:eastAsia="仿宋" w:cs="仿宋"/>
          <w:color w:val="auto"/>
          <w:spacing w:val="-10"/>
          <w:szCs w:val="24"/>
          <w:lang w:val="en-US"/>
        </w:rPr>
      </w:pPr>
      <w:r>
        <w:rPr>
          <w:rFonts w:hint="eastAsia" w:ascii="仿宋" w:hAnsi="仿宋" w:eastAsia="仿宋" w:cs="仿宋"/>
          <w:color w:val="auto"/>
          <w:spacing w:val="-10"/>
          <w:szCs w:val="24"/>
          <w:lang w:val="en-US"/>
        </w:rPr>
        <w:t>CFA全球统考分别在6月和12月举行。CFA考试分为一级、二级和三个级，三个级别所涉及的课程均相同，只是每一级所考的范围和难易度有所区别。本科阶段只能报考CFA一级。通过了CFA一级为CFA二级及三级的考试奠定了坚实的基础，对良好就业和继续深造创造了不可多得的条件。</w:t>
      </w:r>
    </w:p>
    <w:p>
      <w:pPr>
        <w:pStyle w:val="3"/>
        <w:spacing w:beforeLines="50" w:afterLines="50" w:line="440" w:lineRule="exact"/>
        <w:ind w:left="119" w:right="210" w:firstLine="440" w:firstLineChars="200"/>
        <w:rPr>
          <w:rFonts w:hint="eastAsia" w:ascii="仿宋" w:hAnsi="仿宋" w:eastAsia="仿宋" w:cs="仿宋"/>
          <w:color w:val="auto"/>
          <w:spacing w:val="-10"/>
          <w:szCs w:val="24"/>
          <w:lang w:val="en-US"/>
        </w:rPr>
      </w:pPr>
      <w:r>
        <w:rPr>
          <w:rFonts w:hint="eastAsia" w:ascii="仿宋" w:hAnsi="仿宋" w:eastAsia="仿宋" w:cs="仿宋"/>
          <w:color w:val="auto"/>
          <w:spacing w:val="-10"/>
          <w:szCs w:val="24"/>
          <w:lang w:val="en-US"/>
        </w:rPr>
        <w:t>根据金融学CFA&amp;FRM方向班的人才培养方案，FRM一级最早安排在第三学期，FRM二级最早安排在第5学期，CFA一级安排在第7或第8学期。如毕业前未通过全部的CFA、FRM全球统考，剩下的少数科目在毕业后依然可以在FRM®和CFA®全球任一考点继续考试。</w:t>
      </w:r>
    </w:p>
    <w:p>
      <w:pPr>
        <w:pStyle w:val="6"/>
        <w:shd w:val="clear" w:color="auto" w:fill="FFFFFF"/>
        <w:tabs>
          <w:tab w:val="center" w:pos="4325"/>
        </w:tabs>
        <w:spacing w:beforeLines="50" w:beforeAutospacing="0" w:afterLines="50" w:afterAutospacing="0" w:line="440" w:lineRule="exact"/>
        <w:rPr>
          <w:rFonts w:ascii="黑体" w:hAnsi="黑体" w:eastAsia="黑体" w:cs="黑体"/>
          <w:color w:val="auto"/>
          <w:sz w:val="30"/>
          <w:szCs w:val="30"/>
          <w:lang w:val="en-US"/>
        </w:rPr>
      </w:pPr>
      <w:r>
        <w:rPr>
          <w:rFonts w:hint="eastAsia" w:ascii="黑体" w:hAnsi="黑体" w:eastAsia="黑体" w:cs="黑体"/>
          <w:color w:val="auto"/>
          <w:sz w:val="30"/>
          <w:szCs w:val="30"/>
          <w:lang w:val="en-US"/>
        </w:rPr>
        <w:t>七、</w:t>
      </w:r>
      <w:r>
        <w:rPr>
          <w:rFonts w:hint="eastAsia" w:ascii="黑体" w:hAnsi="黑体" w:eastAsia="黑体" w:cs="黑体"/>
          <w:color w:val="auto"/>
          <w:spacing w:val="-10"/>
          <w:sz w:val="30"/>
          <w:szCs w:val="30"/>
          <w:lang w:val="en-US"/>
        </w:rPr>
        <w:t>就读金融学CFA&amp;FRM方向班影响考研吗</w:t>
      </w:r>
      <w:r>
        <w:rPr>
          <w:rFonts w:hint="eastAsia" w:ascii="黑体" w:hAnsi="黑体" w:eastAsia="黑体" w:cs="黑体"/>
          <w:color w:val="auto"/>
          <w:sz w:val="30"/>
          <w:szCs w:val="30"/>
          <w:lang w:val="en-US"/>
        </w:rPr>
        <w:t>？</w:t>
      </w:r>
    </w:p>
    <w:p>
      <w:pPr>
        <w:pStyle w:val="3"/>
        <w:spacing w:beforeLines="50" w:afterLines="50" w:line="440" w:lineRule="exact"/>
        <w:ind w:left="119" w:right="210" w:firstLine="440" w:firstLineChars="200"/>
        <w:rPr>
          <w:b/>
          <w:bCs/>
          <w:color w:val="auto"/>
          <w:sz w:val="28"/>
          <w:szCs w:val="28"/>
          <w:lang w:val="en-US"/>
        </w:rPr>
      </w:pPr>
      <w:r>
        <w:rPr>
          <w:rFonts w:hint="eastAsia" w:ascii="仿宋" w:hAnsi="仿宋" w:eastAsia="仿宋" w:cs="仿宋"/>
          <w:color w:val="auto"/>
          <w:spacing w:val="-10"/>
          <w:szCs w:val="24"/>
          <w:lang w:val="en-US"/>
        </w:rPr>
        <w:t>不会影响，而且对考研有一定的捉进作用。考研成功与否主要决定于数学和英语基础，在金融学CFA&amp;FRM方向班的人才培养方案中，相对于其他专业或方向，提高了数学和英语的学时，另外，证书课程使用的是全英文教材，授课采用的是双语，对提高英语阅读能力和英语听力是大有裨益的。当然，由于该方向班涉及两个证书的课程，压力相对于其他专业或方向会大些，解决的关键方法是科学合理的学习计划制度和时间安排。</w:t>
      </w:r>
    </w:p>
    <w:p>
      <w:pPr>
        <w:widowControl/>
        <w:rPr>
          <w:rFonts w:ascii="黑体" w:hAnsi="黑体" w:eastAsia="黑体" w:cs="黑体"/>
          <w:color w:val="auto"/>
          <w:sz w:val="30"/>
          <w:szCs w:val="30"/>
          <w:lang w:val="en-US"/>
        </w:rPr>
      </w:pPr>
      <w:r>
        <w:rPr>
          <w:rFonts w:hint="eastAsia" w:ascii="黑体" w:hAnsi="黑体" w:eastAsia="黑体" w:cs="黑体"/>
          <w:color w:val="auto"/>
          <w:sz w:val="30"/>
          <w:szCs w:val="30"/>
          <w:lang w:val="en-US"/>
        </w:rPr>
        <w:t>八、报读CFA®&amp;FRM®方向班的学生需要做好哪些准备工作？</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1、了解CFA®&amp;FRM®证书的相关情况。</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2、登陆我校财政金融学院网站详细了解信息，扫描二维码填写信息预报名。</w:t>
      </w:r>
    </w:p>
    <w:p>
      <w:pPr>
        <w:pStyle w:val="3"/>
        <w:spacing w:beforeLines="50" w:afterLines="50"/>
        <w:ind w:left="119" w:right="210" w:firstLine="480" w:firstLineChars="200"/>
        <w:jc w:val="center"/>
        <w:rPr>
          <w:rFonts w:ascii="仿宋" w:hAnsi="仿宋" w:eastAsia="仿宋" w:cs="仿宋"/>
          <w:color w:val="auto"/>
          <w:spacing w:val="-10"/>
          <w:szCs w:val="24"/>
          <w:lang w:val="en-US"/>
        </w:rPr>
      </w:pPr>
      <w:r>
        <w:rPr>
          <w:rFonts w:hint="eastAsia" w:ascii="仿宋" w:hAnsi="仿宋" w:eastAsia="仿宋" w:cs="仿宋"/>
          <w:color w:val="auto"/>
          <w:szCs w:val="24"/>
          <w:shd w:val="clear" w:color="auto" w:fill="FFFFFF"/>
          <w:lang w:val="en-US" w:bidi="ar-SA"/>
        </w:rPr>
        <w:drawing>
          <wp:anchor distT="0" distB="0" distL="114300" distR="114300" simplePos="0" relativeHeight="251664384" behindDoc="0" locked="0" layoutInCell="1" allowOverlap="1">
            <wp:simplePos x="0" y="0"/>
            <wp:positionH relativeFrom="column">
              <wp:posOffset>2420620</wp:posOffset>
            </wp:positionH>
            <wp:positionV relativeFrom="paragraph">
              <wp:posOffset>5715</wp:posOffset>
            </wp:positionV>
            <wp:extent cx="935990" cy="935990"/>
            <wp:effectExtent l="0" t="0" r="3810" b="3810"/>
            <wp:wrapNone/>
            <wp:docPr id="4" name="图片 4" descr="湖南财政经济学院2020年金融学专业CFA&amp;FRM方向班 预报名表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湖南财政经济学院2020年金融学专业CFA&amp;FRM方向班 预报名表_二维码"/>
                    <pic:cNvPicPr>
                      <a:picLocks noChangeAspect="1"/>
                    </pic:cNvPicPr>
                  </pic:nvPicPr>
                  <pic:blipFill>
                    <a:blip r:embed="rId5" cstate="print"/>
                    <a:stretch>
                      <a:fillRect/>
                    </a:stretch>
                  </pic:blipFill>
                  <pic:spPr>
                    <a:xfrm>
                      <a:off x="0" y="0"/>
                      <a:ext cx="935990" cy="935990"/>
                    </a:xfrm>
                    <a:prstGeom prst="rect">
                      <a:avLst/>
                    </a:prstGeom>
                  </pic:spPr>
                </pic:pic>
              </a:graphicData>
            </a:graphic>
          </wp:anchor>
        </w:drawing>
      </w:r>
    </w:p>
    <w:p>
      <w:pPr>
        <w:pStyle w:val="2"/>
        <w:spacing w:beforeLines="50" w:afterLines="50"/>
        <w:ind w:left="119" w:right="210" w:firstLine="440" w:firstLineChars="200"/>
        <w:jc w:val="center"/>
        <w:rPr>
          <w:rFonts w:ascii="仿宋" w:hAnsi="仿宋" w:eastAsia="仿宋" w:cs="仿宋"/>
          <w:color w:val="auto"/>
          <w:spacing w:val="-10"/>
          <w:sz w:val="24"/>
          <w:szCs w:val="24"/>
          <w:lang w:val="en-US"/>
        </w:rPr>
      </w:pPr>
    </w:p>
    <w:p>
      <w:pPr>
        <w:pStyle w:val="2"/>
        <w:spacing w:beforeLines="50" w:afterLines="50"/>
        <w:ind w:left="119" w:right="210" w:firstLine="440" w:firstLineChars="200"/>
        <w:jc w:val="center"/>
        <w:rPr>
          <w:rFonts w:ascii="仿宋" w:hAnsi="仿宋" w:eastAsia="仿宋" w:cs="仿宋"/>
          <w:color w:val="auto"/>
          <w:spacing w:val="-10"/>
          <w:sz w:val="24"/>
          <w:szCs w:val="24"/>
          <w:lang w:val="en-US"/>
        </w:rPr>
      </w:pPr>
    </w:p>
    <w:p>
      <w:pPr>
        <w:pStyle w:val="2"/>
        <w:spacing w:beforeLines="50" w:afterLines="50"/>
        <w:ind w:left="119" w:right="210" w:firstLine="440" w:firstLineChars="200"/>
        <w:jc w:val="center"/>
        <w:rPr>
          <w:rFonts w:ascii="仿宋" w:hAnsi="仿宋" w:eastAsia="仿宋" w:cs="仿宋"/>
          <w:color w:val="auto"/>
          <w:spacing w:val="-10"/>
          <w:sz w:val="24"/>
          <w:szCs w:val="24"/>
          <w:lang w:val="en-US"/>
        </w:rPr>
      </w:pPr>
    </w:p>
    <w:p>
      <w:pPr>
        <w:pStyle w:val="2"/>
        <w:spacing w:beforeLines="50" w:afterLines="50"/>
        <w:ind w:left="119" w:right="210" w:firstLine="440" w:firstLineChars="200"/>
        <w:jc w:val="center"/>
        <w:rPr>
          <w:rFonts w:ascii="仿宋" w:hAnsi="仿宋" w:eastAsia="仿宋" w:cs="仿宋"/>
          <w:color w:val="auto"/>
          <w:spacing w:val="-10"/>
          <w:sz w:val="24"/>
          <w:szCs w:val="24"/>
          <w:lang w:val="en-US"/>
        </w:rPr>
      </w:pPr>
      <w:r>
        <w:rPr>
          <w:rFonts w:hint="eastAsia" w:ascii="仿宋" w:hAnsi="仿宋" w:eastAsia="仿宋" w:cs="仿宋"/>
          <w:color w:val="auto"/>
          <w:spacing w:val="-10"/>
          <w:sz w:val="24"/>
          <w:szCs w:val="24"/>
          <w:lang w:val="en-US"/>
        </w:rPr>
        <w:t xml:space="preserve"> CFA®&amp;FRM®方向班预报名二维码</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3、多看一些英文阅读材料，增加词汇量和阅读量，为适应未来的全英文教材以及双语教学打下基础</w:t>
      </w:r>
      <w:r>
        <w:rPr>
          <w:rFonts w:hint="eastAsia" w:ascii="仿宋" w:hAnsi="仿宋" w:eastAsia="仿宋" w:cs="仿宋"/>
          <w:color w:val="auto"/>
          <w:szCs w:val="24"/>
        </w:rPr>
        <w:t>。</w:t>
      </w:r>
      <w:r>
        <w:rPr>
          <w:rFonts w:hint="eastAsia" w:ascii="仿宋" w:hAnsi="仿宋" w:eastAsia="仿宋" w:cs="仿宋"/>
          <w:color w:val="auto"/>
          <w:spacing w:val="-10"/>
          <w:szCs w:val="24"/>
          <w:lang w:val="en-US"/>
        </w:rPr>
        <w:t>训练自己的英语表达能力，并且有逻辑地表达。</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4、练习英文口语和</w:t>
      </w:r>
      <w:r>
        <w:rPr>
          <w:rFonts w:ascii="仿宋" w:hAnsi="仿宋" w:eastAsia="仿宋" w:cs="仿宋"/>
          <w:color w:val="auto"/>
          <w:spacing w:val="-10"/>
          <w:szCs w:val="24"/>
        </w:rPr>
        <w:t>表达能力</w:t>
      </w:r>
      <w:r>
        <w:rPr>
          <w:rFonts w:hint="eastAsia" w:ascii="仿宋" w:hAnsi="仿宋" w:eastAsia="仿宋" w:cs="仿宋"/>
          <w:color w:val="auto"/>
          <w:spacing w:val="-10"/>
          <w:szCs w:val="24"/>
          <w:lang w:val="en-US"/>
        </w:rPr>
        <w:t>，为面试做准备。</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5、阅读并观看金融类、财经类的相关新闻报道。</w:t>
      </w:r>
    </w:p>
    <w:p>
      <w:pPr>
        <w:pStyle w:val="6"/>
        <w:shd w:val="clear" w:color="auto" w:fill="FFFFFF"/>
        <w:spacing w:beforeLines="50" w:beforeAutospacing="0" w:afterLines="50" w:afterAutospacing="0" w:line="440" w:lineRule="exact"/>
        <w:ind w:firstLine="440" w:firstLineChars="200"/>
        <w:rPr>
          <w:color w:val="auto"/>
          <w:spacing w:val="-10"/>
          <w:lang w:val="en-US"/>
        </w:rPr>
      </w:pPr>
    </w:p>
    <w:p>
      <w:pPr>
        <w:pStyle w:val="6"/>
        <w:shd w:val="clear" w:color="auto" w:fill="FFFFFF"/>
        <w:spacing w:beforeLines="50" w:beforeAutospacing="0" w:afterLines="50" w:afterAutospacing="0" w:line="440" w:lineRule="exact"/>
        <w:rPr>
          <w:rFonts w:ascii="黑体" w:hAnsi="黑体" w:eastAsia="黑体" w:cs="黑体"/>
          <w:b/>
          <w:bCs/>
          <w:color w:val="auto"/>
          <w:sz w:val="30"/>
          <w:szCs w:val="30"/>
          <w:lang w:val="en-US"/>
        </w:rPr>
      </w:pPr>
      <w:r>
        <w:rPr>
          <w:rFonts w:hint="eastAsia" w:ascii="黑体" w:hAnsi="黑体" w:eastAsia="黑体" w:cs="黑体"/>
          <w:b/>
          <w:bCs/>
          <w:color w:val="auto"/>
          <w:sz w:val="30"/>
          <w:szCs w:val="30"/>
          <w:lang w:val="en-US"/>
        </w:rPr>
        <w:t>九、CFA®&amp;FRM®方向班报名须知</w:t>
      </w:r>
    </w:p>
    <w:p>
      <w:pPr>
        <w:pStyle w:val="6"/>
        <w:shd w:val="clear" w:color="auto" w:fill="FFFFFF"/>
        <w:spacing w:beforeAutospacing="0" w:afterAutospacing="0" w:line="480" w:lineRule="exact"/>
        <w:ind w:firstLine="472" w:firstLineChars="196"/>
        <w:jc w:val="both"/>
        <w:rPr>
          <w:rFonts w:ascii="仿宋" w:hAnsi="仿宋" w:eastAsia="仿宋" w:cs="仿宋"/>
          <w:b/>
          <w:bCs/>
          <w:color w:val="auto"/>
        </w:rPr>
      </w:pPr>
      <w:r>
        <w:rPr>
          <w:rStyle w:val="8"/>
          <w:rFonts w:hint="eastAsia" w:ascii="仿宋" w:hAnsi="仿宋" w:eastAsia="仿宋" w:cs="仿宋"/>
          <w:color w:val="auto"/>
          <w:shd w:val="clear" w:color="auto" w:fill="FFFFFF"/>
        </w:rPr>
        <w:t>(一) 报名条件</w:t>
      </w:r>
    </w:p>
    <w:p>
      <w:pPr>
        <w:pStyle w:val="6"/>
        <w:shd w:val="clear" w:color="auto" w:fill="FFFFFF"/>
        <w:spacing w:beforeAutospacing="0" w:afterAutospacing="0" w:line="480" w:lineRule="exact"/>
        <w:ind w:firstLine="480"/>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rPr>
        <w:t>已被录取为湖南财政经济学院20</w:t>
      </w:r>
      <w:r>
        <w:rPr>
          <w:rFonts w:hint="eastAsia" w:ascii="仿宋" w:hAnsi="仿宋" w:eastAsia="仿宋" w:cs="仿宋"/>
          <w:color w:val="auto"/>
          <w:shd w:val="clear" w:color="auto" w:fill="FFFFFF"/>
          <w:lang w:val="en-US"/>
        </w:rPr>
        <w:t>20</w:t>
      </w:r>
      <w:r>
        <w:rPr>
          <w:rFonts w:hint="eastAsia" w:ascii="仿宋" w:hAnsi="仿宋" w:eastAsia="仿宋" w:cs="仿宋"/>
          <w:color w:val="auto"/>
          <w:shd w:val="clear" w:color="auto" w:fill="FFFFFF"/>
        </w:rPr>
        <w:t>级的所有统招生(不含体育生及国际教育学院)符合下列条件，且愿意就读金融学专业CFA</w:t>
      </w:r>
      <w:r>
        <w:rPr>
          <w:rFonts w:hint="eastAsia" w:ascii="仿宋" w:hAnsi="仿宋" w:eastAsia="仿宋" w:cs="仿宋"/>
          <w:color w:val="auto"/>
          <w:shd w:val="clear" w:color="auto" w:fill="FFFFFF"/>
        </w:rPr>
        <w:t>®</w:t>
      </w:r>
      <w:r>
        <w:rPr>
          <w:rFonts w:hint="eastAsia" w:ascii="仿宋" w:hAnsi="仿宋" w:eastAsia="仿宋" w:cs="仿宋"/>
          <w:color w:val="auto"/>
          <w:shd w:val="clear" w:color="auto" w:fill="FFFFFF"/>
        </w:rPr>
        <w:t>&amp;FRM</w:t>
      </w:r>
      <w:r>
        <w:rPr>
          <w:rFonts w:hint="eastAsia" w:ascii="仿宋" w:hAnsi="仿宋" w:eastAsia="仿宋" w:cs="仿宋"/>
          <w:color w:val="auto"/>
          <w:shd w:val="clear" w:color="auto" w:fill="FFFFFF"/>
        </w:rPr>
        <w:t>®</w:t>
      </w:r>
      <w:r>
        <w:rPr>
          <w:rFonts w:hint="eastAsia" w:ascii="仿宋" w:hAnsi="仿宋" w:eastAsia="仿宋" w:cs="仿宋"/>
          <w:color w:val="auto"/>
          <w:shd w:val="clear" w:color="auto" w:fill="FFFFFF"/>
        </w:rPr>
        <w:t>方向班的，文理不限，均可报名。</w:t>
      </w:r>
    </w:p>
    <w:p>
      <w:pPr>
        <w:pStyle w:val="6"/>
        <w:shd w:val="clear" w:color="auto" w:fill="FFFFFF"/>
        <w:spacing w:beforeAutospacing="0" w:afterAutospacing="0" w:line="480" w:lineRule="exact"/>
        <w:ind w:firstLine="482" w:firstLineChars="201"/>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rPr>
        <w:t>1．150分制下，高考英语成绩在</w:t>
      </w:r>
      <w:r>
        <w:rPr>
          <w:rFonts w:hint="eastAsia" w:ascii="仿宋" w:hAnsi="仿宋" w:eastAsia="仿宋" w:cs="仿宋"/>
          <w:color w:val="auto"/>
          <w:shd w:val="clear" w:color="auto" w:fill="FFFFFF"/>
          <w:lang w:val="en-US"/>
        </w:rPr>
        <w:t>100</w:t>
      </w:r>
      <w:r>
        <w:rPr>
          <w:rFonts w:hint="eastAsia" w:ascii="仿宋" w:hAnsi="仿宋" w:eastAsia="仿宋" w:cs="仿宋"/>
          <w:color w:val="auto"/>
          <w:shd w:val="clear" w:color="auto" w:fill="FFFFFF"/>
        </w:rPr>
        <w:t>分及以上。</w:t>
      </w:r>
    </w:p>
    <w:p>
      <w:pPr>
        <w:pStyle w:val="6"/>
        <w:numPr>
          <w:ilvl w:val="0"/>
          <w:numId w:val="1"/>
        </w:numPr>
        <w:shd w:val="clear" w:color="auto" w:fill="FFFFFF"/>
        <w:spacing w:beforeAutospacing="0" w:afterAutospacing="0" w:line="480" w:lineRule="exact"/>
        <w:ind w:firstLine="482" w:firstLineChars="201"/>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rPr>
        <w:t>具有强烈的学习意愿和吃苦耐劳的毅力。</w:t>
      </w:r>
    </w:p>
    <w:p>
      <w:pPr>
        <w:pStyle w:val="6"/>
        <w:numPr>
          <w:ilvl w:val="0"/>
          <w:numId w:val="1"/>
        </w:numPr>
        <w:shd w:val="clear" w:color="auto" w:fill="FFFFFF"/>
        <w:spacing w:beforeAutospacing="0" w:afterAutospacing="0" w:line="480" w:lineRule="exact"/>
        <w:ind w:firstLine="482" w:firstLineChars="201"/>
        <w:jc w:val="both"/>
        <w:rPr>
          <w:rStyle w:val="8"/>
          <w:rFonts w:ascii="仿宋" w:hAnsi="仿宋" w:eastAsia="仿宋" w:cs="仿宋"/>
          <w:color w:val="auto"/>
          <w:shd w:val="clear" w:color="auto" w:fill="FFFFFF"/>
        </w:rPr>
      </w:pPr>
      <w:r>
        <w:rPr>
          <w:rFonts w:hint="eastAsia" w:ascii="仿宋" w:hAnsi="仿宋" w:eastAsia="仿宋" w:cs="仿宋"/>
          <w:color w:val="auto"/>
          <w:shd w:val="clear" w:color="auto" w:fill="FFFFFF"/>
        </w:rPr>
        <w:t>家庭经济良好。</w:t>
      </w:r>
    </w:p>
    <w:p>
      <w:pPr>
        <w:pStyle w:val="6"/>
        <w:shd w:val="clear" w:color="auto" w:fill="FFFFFF"/>
        <w:spacing w:beforeAutospacing="0" w:afterAutospacing="0" w:line="480" w:lineRule="exact"/>
        <w:ind w:firstLine="472" w:firstLineChars="196"/>
        <w:jc w:val="both"/>
        <w:rPr>
          <w:rFonts w:ascii="仿宋" w:hAnsi="仿宋" w:eastAsia="仿宋" w:cs="仿宋"/>
          <w:color w:val="auto"/>
        </w:rPr>
      </w:pPr>
      <w:r>
        <w:rPr>
          <w:rStyle w:val="8"/>
          <w:rFonts w:hint="eastAsia" w:ascii="仿宋" w:hAnsi="仿宋" w:eastAsia="仿宋" w:cs="仿宋"/>
          <w:color w:val="auto"/>
          <w:shd w:val="clear" w:color="auto" w:fill="FFFFFF"/>
        </w:rPr>
        <w:t>(二) 选拔程序</w:t>
      </w:r>
    </w:p>
    <w:p>
      <w:pPr>
        <w:pStyle w:val="6"/>
        <w:shd w:val="clear" w:color="auto" w:fill="FFFFFF"/>
        <w:spacing w:beforeAutospacing="0" w:afterAutospacing="0" w:line="480" w:lineRule="exact"/>
        <w:ind w:firstLine="480"/>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rPr>
        <w:t>1．报名：符合条件且愿意参加金融学CFA</w:t>
      </w:r>
      <w:r>
        <w:rPr>
          <w:rFonts w:hint="eastAsia" w:ascii="仿宋" w:hAnsi="仿宋" w:eastAsia="仿宋" w:cs="仿宋"/>
          <w:color w:val="auto"/>
          <w:shd w:val="clear" w:color="auto" w:fill="FFFFFF"/>
        </w:rPr>
        <w:t>®</w:t>
      </w:r>
      <w:r>
        <w:rPr>
          <w:rFonts w:hint="eastAsia" w:ascii="仿宋" w:hAnsi="仿宋" w:eastAsia="仿宋" w:cs="仿宋"/>
          <w:color w:val="auto"/>
          <w:shd w:val="clear" w:color="auto" w:fill="FFFFFF"/>
        </w:rPr>
        <w:t>&amp;FRM</w:t>
      </w:r>
      <w:r>
        <w:rPr>
          <w:rFonts w:hint="eastAsia" w:ascii="仿宋" w:hAnsi="仿宋" w:eastAsia="仿宋" w:cs="仿宋"/>
          <w:color w:val="auto"/>
          <w:shd w:val="clear" w:color="auto" w:fill="FFFFFF"/>
        </w:rPr>
        <w:t>®</w:t>
      </w:r>
      <w:r>
        <w:rPr>
          <w:rFonts w:hint="eastAsia" w:ascii="仿宋" w:hAnsi="仿宋" w:eastAsia="仿宋" w:cs="仿宋"/>
          <w:color w:val="auto"/>
          <w:shd w:val="clear" w:color="auto" w:fill="FFFFFF"/>
        </w:rPr>
        <w:t>方向班的学生在报到入学前可通过扫描下方所附的CFA</w:t>
      </w:r>
      <w:r>
        <w:rPr>
          <w:rFonts w:hint="eastAsia" w:ascii="仿宋" w:hAnsi="仿宋" w:eastAsia="仿宋" w:cs="仿宋"/>
          <w:color w:val="auto"/>
          <w:shd w:val="clear" w:color="auto" w:fill="FFFFFF"/>
        </w:rPr>
        <w:t>®</w:t>
      </w:r>
      <w:r>
        <w:rPr>
          <w:rFonts w:hint="eastAsia" w:ascii="仿宋" w:hAnsi="仿宋" w:eastAsia="仿宋" w:cs="仿宋"/>
          <w:color w:val="auto"/>
          <w:shd w:val="clear" w:color="auto" w:fill="FFFFFF"/>
        </w:rPr>
        <w:t>&amp;FRM</w:t>
      </w:r>
      <w:r>
        <w:rPr>
          <w:rFonts w:hint="eastAsia" w:ascii="仿宋" w:hAnsi="仿宋" w:eastAsia="仿宋" w:cs="仿宋"/>
          <w:color w:val="auto"/>
          <w:shd w:val="clear" w:color="auto" w:fill="FFFFFF"/>
        </w:rPr>
        <w:t>®</w:t>
      </w:r>
      <w:r>
        <w:rPr>
          <w:rFonts w:hint="eastAsia" w:ascii="仿宋" w:hAnsi="仿宋" w:eastAsia="仿宋" w:cs="仿宋"/>
          <w:color w:val="auto"/>
          <w:shd w:val="clear" w:color="auto" w:fill="FFFFFF"/>
        </w:rPr>
        <w:t>微信二维码填写信息进行预报名。同时可添加新生咨询群进行详细了解。入学报到时，持报名申请表和近期一寸免冠彩照两张到湖南财政经济学院报到入学现场确认。</w:t>
      </w:r>
    </w:p>
    <w:p>
      <w:pPr>
        <w:pStyle w:val="6"/>
        <w:shd w:val="clear" w:color="auto" w:fill="FFFFFF"/>
        <w:spacing w:beforeAutospacing="0" w:afterAutospacing="0" w:line="480" w:lineRule="exact"/>
        <w:ind w:firstLine="480"/>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rPr>
        <w:t>2．考核：（</w:t>
      </w:r>
      <w:r>
        <w:rPr>
          <w:rFonts w:hint="eastAsia" w:ascii="仿宋" w:hAnsi="仿宋" w:eastAsia="仿宋" w:cs="仿宋"/>
          <w:color w:val="auto"/>
          <w:shd w:val="clear" w:color="auto" w:fill="FFFFFF"/>
          <w:lang w:val="en-US"/>
        </w:rPr>
        <w:t>1</w:t>
      </w:r>
      <w:r>
        <w:rPr>
          <w:rFonts w:hint="eastAsia" w:ascii="仿宋" w:hAnsi="仿宋" w:eastAsia="仿宋" w:cs="仿宋"/>
          <w:color w:val="auto"/>
          <w:shd w:val="clear" w:color="auto" w:fill="FFFFFF"/>
        </w:rPr>
        <w:t>）笔试：高考英语成绩在</w:t>
      </w:r>
      <w:r>
        <w:rPr>
          <w:rFonts w:hint="eastAsia" w:ascii="仿宋" w:hAnsi="仿宋" w:eastAsia="仿宋" w:cs="仿宋"/>
          <w:color w:val="auto"/>
          <w:shd w:val="clear" w:color="auto" w:fill="FFFFFF"/>
          <w:lang w:val="en-US"/>
        </w:rPr>
        <w:t>100</w:t>
      </w:r>
      <w:r>
        <w:rPr>
          <w:rFonts w:hint="eastAsia" w:ascii="仿宋" w:hAnsi="仿宋" w:eastAsia="仿宋" w:cs="仿宋"/>
          <w:color w:val="auto"/>
          <w:shd w:val="clear" w:color="auto" w:fill="FFFFFF"/>
        </w:rPr>
        <w:t>分及以上的学生免英语笔试，只参加面试（学院组织，无费用），120分以下还需参加笔试。（</w:t>
      </w:r>
      <w:r>
        <w:rPr>
          <w:rFonts w:hint="eastAsia" w:ascii="仿宋" w:hAnsi="仿宋" w:eastAsia="仿宋" w:cs="仿宋"/>
          <w:color w:val="auto"/>
          <w:shd w:val="clear" w:color="auto" w:fill="FFFFFF"/>
          <w:lang w:val="en-US"/>
        </w:rPr>
        <w:t>2</w:t>
      </w:r>
      <w:r>
        <w:rPr>
          <w:rFonts w:hint="eastAsia" w:ascii="仿宋" w:hAnsi="仿宋" w:eastAsia="仿宋" w:cs="仿宋"/>
          <w:color w:val="auto"/>
          <w:shd w:val="clear" w:color="auto" w:fill="FFFFFF"/>
        </w:rPr>
        <w:t>）面试：重点考察学生的英语阅读和英语表达能力、求知欲望、自我管理能力等。</w:t>
      </w:r>
    </w:p>
    <w:p>
      <w:pPr>
        <w:pStyle w:val="6"/>
        <w:shd w:val="clear" w:color="auto" w:fill="FFFFFF"/>
        <w:spacing w:beforeAutospacing="0" w:afterAutospacing="0" w:line="480" w:lineRule="exact"/>
        <w:ind w:firstLine="480"/>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lang w:val="en-US"/>
        </w:rPr>
        <w:t>3、</w:t>
      </w:r>
      <w:r>
        <w:rPr>
          <w:rFonts w:hint="eastAsia" w:ascii="仿宋" w:hAnsi="仿宋" w:eastAsia="仿宋" w:cs="仿宋"/>
          <w:color w:val="auto"/>
          <w:shd w:val="clear" w:color="auto" w:fill="FFFFFF"/>
        </w:rPr>
        <w:t>录取公示：将严格按照公开、公平、公正的原则择优录取。</w:t>
      </w:r>
    </w:p>
    <w:p>
      <w:pPr>
        <w:pStyle w:val="6"/>
        <w:shd w:val="clear" w:color="auto" w:fill="FFFFFF"/>
        <w:spacing w:beforeAutospacing="0" w:afterAutospacing="0" w:line="480" w:lineRule="exact"/>
        <w:ind w:firstLine="480"/>
        <w:jc w:val="both"/>
        <w:rPr>
          <w:rStyle w:val="8"/>
          <w:rFonts w:ascii="Times New Roman" w:hAnsi="Times New Roman"/>
          <w:color w:val="auto"/>
          <w:sz w:val="21"/>
          <w:szCs w:val="22"/>
          <w:shd w:val="clear" w:color="auto" w:fill="FFFFFF"/>
          <w:lang w:val="en-US"/>
        </w:rPr>
      </w:pPr>
      <w:r>
        <w:rPr>
          <w:rFonts w:hint="eastAsia" w:ascii="仿宋" w:hAnsi="仿宋" w:eastAsia="仿宋" w:cs="仿宋"/>
          <w:color w:val="auto"/>
          <w:shd w:val="clear" w:color="auto" w:fill="FFFFFF"/>
          <w:lang w:val="en-US"/>
        </w:rPr>
        <w:t>4、</w:t>
      </w:r>
      <w:r>
        <w:rPr>
          <w:rFonts w:hint="eastAsia" w:ascii="仿宋" w:hAnsi="仿宋" w:eastAsia="仿宋" w:cs="仿宋"/>
          <w:color w:val="auto"/>
          <w:shd w:val="clear" w:color="auto" w:fill="FFFFFF"/>
        </w:rPr>
        <w:t>现场确认：学生家长和学生本人现场确认，签订三方协议(具体时间、地点另行通知)。</w:t>
      </w:r>
    </w:p>
    <w:p>
      <w:pPr>
        <w:pStyle w:val="6"/>
        <w:shd w:val="clear" w:color="auto" w:fill="FFFFFF"/>
        <w:spacing w:beforeAutospacing="0" w:afterAutospacing="0" w:line="480" w:lineRule="exact"/>
        <w:ind w:firstLine="472" w:firstLineChars="196"/>
        <w:jc w:val="both"/>
        <w:rPr>
          <w:rStyle w:val="8"/>
          <w:rFonts w:ascii="仿宋" w:hAnsi="仿宋" w:eastAsia="仿宋" w:cs="仿宋"/>
          <w:color w:val="auto"/>
          <w:shd w:val="clear" w:color="auto" w:fill="FFFFFF"/>
        </w:rPr>
      </w:pPr>
      <w:r>
        <w:rPr>
          <w:rStyle w:val="8"/>
          <w:rFonts w:hint="eastAsia" w:ascii="仿宋" w:hAnsi="仿宋" w:eastAsia="仿宋" w:cs="仿宋"/>
          <w:color w:val="auto"/>
          <w:shd w:val="clear" w:color="auto" w:fill="FFFFFF"/>
        </w:rPr>
        <w:t>（三）CFA®&amp;FRM®方向班的费用</w:t>
      </w:r>
    </w:p>
    <w:p>
      <w:pPr>
        <w:pStyle w:val="3"/>
        <w:spacing w:beforeLines="50" w:afterLines="50" w:line="440" w:lineRule="exact"/>
        <w:ind w:left="119" w:right="210" w:firstLine="440" w:firstLineChars="200"/>
        <w:rPr>
          <w:rFonts w:hint="eastAsia" w:ascii="仿宋" w:hAnsi="仿宋" w:eastAsia="仿宋" w:cs="仿宋"/>
          <w:color w:val="auto"/>
          <w:spacing w:val="-10"/>
          <w:szCs w:val="24"/>
          <w:lang w:val="en-US"/>
        </w:rPr>
      </w:pPr>
      <w:r>
        <w:rPr>
          <w:rFonts w:hint="eastAsia" w:ascii="仿宋" w:hAnsi="仿宋" w:eastAsia="仿宋" w:cs="仿宋"/>
          <w:color w:val="auto"/>
          <w:spacing w:val="-10"/>
          <w:szCs w:val="24"/>
          <w:lang w:val="en-US"/>
        </w:rPr>
        <w:t>除需要缴纳金融学专业普通班学生的学费、住宿费等所有费用外，该方向班还涉及下列费用：</w:t>
      </w:r>
    </w:p>
    <w:p>
      <w:pPr>
        <w:pStyle w:val="3"/>
        <w:spacing w:beforeLines="50" w:afterLines="50" w:line="440" w:lineRule="exact"/>
        <w:ind w:left="119" w:right="210" w:firstLine="440" w:firstLineChars="200"/>
        <w:rPr>
          <w:rFonts w:ascii="仿宋" w:hAnsi="仿宋" w:eastAsia="仿宋" w:cs="仿宋"/>
          <w:color w:val="auto"/>
          <w:spacing w:val="-10"/>
          <w:szCs w:val="24"/>
          <w:lang w:val="en-US"/>
        </w:rPr>
      </w:pPr>
      <w:r>
        <w:rPr>
          <w:rFonts w:hint="eastAsia" w:ascii="仿宋" w:hAnsi="仿宋" w:eastAsia="仿宋" w:cs="仿宋"/>
          <w:color w:val="auto"/>
          <w:spacing w:val="-10"/>
          <w:szCs w:val="24"/>
          <w:lang w:val="en-US"/>
        </w:rPr>
        <w:t>1、按学年收取，每学年11000元。本科阶段四学年共收取44000元。</w:t>
      </w:r>
    </w:p>
    <w:p>
      <w:pPr>
        <w:pStyle w:val="3"/>
        <w:spacing w:beforeLines="50" w:afterLines="50" w:line="440" w:lineRule="exact"/>
        <w:ind w:left="119" w:right="210" w:firstLine="440" w:firstLineChars="200"/>
        <w:rPr>
          <w:color w:val="auto"/>
        </w:rPr>
      </w:pPr>
      <w:r>
        <w:rPr>
          <w:rFonts w:hint="eastAsia" w:ascii="仿宋" w:hAnsi="仿宋" w:eastAsia="仿宋" w:cs="仿宋"/>
          <w:color w:val="auto"/>
          <w:spacing w:val="-10"/>
          <w:szCs w:val="24"/>
          <w:lang w:val="en-US"/>
        </w:rPr>
        <w:t>2、证书报考费、注册费、年费等按照FRM、CFA官方规定缴纳，大约1.5万。</w:t>
      </w:r>
    </w:p>
    <w:sectPr>
      <w:headerReference r:id="rId3" w:type="default"/>
      <w:pgSz w:w="11910" w:h="16840"/>
      <w:pgMar w:top="1400" w:right="15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华文仿宋">
    <w:panose1 w:val="02010600040101010101"/>
    <w:charset w:val="86"/>
    <w:family w:val="auto"/>
    <w:pitch w:val="default"/>
    <w:sig w:usb0="00000287" w:usb1="080F0000" w:usb2="00000000" w:usb3="00000000" w:csb0="0004009F" w:csb1="DFD70000"/>
  </w:font>
  <w:font w:name="Courier New">
    <w:panose1 w:val="02070409020205090404"/>
    <w:charset w:val="00"/>
    <w:family w:val="modern"/>
    <w:pitch w:val="default"/>
    <w:sig w:usb0="E0000AFF" w:usb1="4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思源黑体 CN ExtraLight">
    <w:altName w:val="冬青黑体简体中文"/>
    <w:panose1 w:val="00000000000000000000"/>
    <w:charset w:val="86"/>
    <w:family w:val="auto"/>
    <w:pitch w:val="default"/>
    <w:sig w:usb0="00000000" w:usb1="00000000" w:usb2="00000016" w:usb3="00000000" w:csb0="60060107"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5040" w:firstLineChars="2400"/>
      <w:jc w:val="both"/>
      <w:rPr>
        <w:rFonts w:hint="eastAsia" w:ascii="思源黑体 CN ExtraLight" w:hAnsi="思源黑体 CN ExtraLight" w:eastAsia="思源黑体 CN ExtraLight" w:cs="思源黑体 CN ExtraLight"/>
        <w:sz w:val="21"/>
        <w:szCs w:val="21"/>
      </w:rPr>
    </w:pPr>
    <w:r>
      <w:rPr>
        <w:rFonts w:hint="eastAsia" w:ascii="思源黑体 CN ExtraLight" w:hAnsi="思源黑体 CN ExtraLight" w:eastAsia="思源黑体 CN ExtraLight" w:cs="思源黑体 CN ExtraLight"/>
        <w:sz w:val="21"/>
        <w:szCs w:val="21"/>
      </w:rPr>
      <w:drawing>
        <wp:anchor distT="0" distB="0" distL="114300" distR="114300" simplePos="0" relativeHeight="251659264" behindDoc="1" locked="0" layoutInCell="1" allowOverlap="1">
          <wp:simplePos x="0" y="0"/>
          <wp:positionH relativeFrom="column">
            <wp:posOffset>10160</wp:posOffset>
          </wp:positionH>
          <wp:positionV relativeFrom="paragraph">
            <wp:posOffset>76835</wp:posOffset>
          </wp:positionV>
          <wp:extent cx="1046480" cy="302895"/>
          <wp:effectExtent l="0" t="0" r="7620" b="1905"/>
          <wp:wrapThrough wrapText="bothSides">
            <wp:wrapPolygon>
              <wp:start x="0" y="0"/>
              <wp:lineTo x="0" y="20830"/>
              <wp:lineTo x="21233" y="20830"/>
              <wp:lineTo x="21233" y="0"/>
              <wp:lineTo x="0" y="0"/>
            </wp:wrapPolygon>
          </wp:wrapThrough>
          <wp:docPr id="3"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1"/>
                  <pic:cNvPicPr>
                    <a:picLocks noChangeAspect="1"/>
                  </pic:cNvPicPr>
                </pic:nvPicPr>
                <pic:blipFill>
                  <a:blip r:embed="rId1"/>
                  <a:stretch>
                    <a:fillRect/>
                  </a:stretch>
                </pic:blipFill>
                <pic:spPr>
                  <a:xfrm>
                    <a:off x="0" y="0"/>
                    <a:ext cx="1046480" cy="302895"/>
                  </a:xfrm>
                  <a:prstGeom prst="rect">
                    <a:avLst/>
                  </a:prstGeom>
                </pic:spPr>
              </pic:pic>
            </a:graphicData>
          </a:graphic>
        </wp:anchor>
      </w:drawing>
    </w:r>
  </w:p>
  <w:p>
    <w:pPr>
      <w:pStyle w:val="5"/>
      <w:pBdr>
        <w:bottom w:val="single" w:color="auto" w:sz="4" w:space="1"/>
      </w:pBdr>
      <w:ind w:firstLine="5045" w:firstLineChars="2400"/>
      <w:jc w:val="both"/>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思源黑体 CN ExtraLight" w:hAnsi="思源黑体 CN ExtraLight" w:eastAsia="思源黑体 CN ExtraLight" w:cs="思源黑体 CN ExtraLight"/>
        <w:b/>
        <w:bCs/>
        <w:color w:val="000000" w:themeColor="text1"/>
        <w:sz w:val="21"/>
        <w:szCs w:val="21"/>
        <w14:textFill>
          <w14:solidFill>
            <w14:schemeClr w14:val="tx1"/>
          </w14:solidFill>
        </w14:textFill>
      </w:rPr>
      <w:t>财院CFA®&amp;FRM®——打造国际金融全才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15FAC"/>
    <w:multiLevelType w:val="singleLevel"/>
    <w:tmpl w:val="4D215FA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19"/>
    <w:rsid w:val="000B4B44"/>
    <w:rsid w:val="00146F3C"/>
    <w:rsid w:val="00256ADD"/>
    <w:rsid w:val="0035309D"/>
    <w:rsid w:val="0056426E"/>
    <w:rsid w:val="00976999"/>
    <w:rsid w:val="00AD5D19"/>
    <w:rsid w:val="00DA383D"/>
    <w:rsid w:val="00DB2025"/>
    <w:rsid w:val="00E16F79"/>
    <w:rsid w:val="06861E9A"/>
    <w:rsid w:val="08175B12"/>
    <w:rsid w:val="0A3A6BCD"/>
    <w:rsid w:val="14B15D15"/>
    <w:rsid w:val="1770B905"/>
    <w:rsid w:val="1C713952"/>
    <w:rsid w:val="1DC744A2"/>
    <w:rsid w:val="2C7E344E"/>
    <w:rsid w:val="2CB30BFC"/>
    <w:rsid w:val="2E0939B4"/>
    <w:rsid w:val="2EF7172C"/>
    <w:rsid w:val="30491ED4"/>
    <w:rsid w:val="33B21BFB"/>
    <w:rsid w:val="39575B63"/>
    <w:rsid w:val="3BA47F7F"/>
    <w:rsid w:val="43ED72AB"/>
    <w:rsid w:val="54531E3C"/>
    <w:rsid w:val="57AF8C84"/>
    <w:rsid w:val="62A24EDF"/>
    <w:rsid w:val="6B23217D"/>
    <w:rsid w:val="7C040129"/>
    <w:rsid w:val="7FCE4703"/>
    <w:rsid w:val="EBAD8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Body Text"/>
    <w:basedOn w:val="1"/>
    <w:qFormat/>
    <w:uiPriority w:val="1"/>
    <w:pPr>
      <w:ind w:left="120"/>
    </w:pPr>
    <w:rPr>
      <w:rFonts w:eastAsia="华文仿宋"/>
      <w:sz w:val="24"/>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pPr>
    <w:rPr>
      <w:sz w:val="24"/>
      <w:szCs w:val="24"/>
    </w:rPr>
  </w:style>
  <w:style w:type="character" w:styleId="8">
    <w:name w:val="Strong"/>
    <w:basedOn w:val="7"/>
    <w:qFormat/>
    <w:uiPriority w:val="22"/>
    <w:rPr>
      <w:b/>
      <w:bCs/>
    </w:rPr>
  </w:style>
  <w:style w:type="character" w:styleId="9">
    <w:name w:val="FollowedHyperlink"/>
    <w:basedOn w:val="7"/>
    <w:qFormat/>
    <w:uiPriority w:val="0"/>
    <w:rPr>
      <w:color w:val="393939"/>
      <w:u w:val="none"/>
    </w:rPr>
  </w:style>
  <w:style w:type="character" w:styleId="10">
    <w:name w:val="Emphasis"/>
    <w:basedOn w:val="7"/>
    <w:qFormat/>
    <w:uiPriority w:val="0"/>
    <w:rPr>
      <w:i/>
    </w:rPr>
  </w:style>
  <w:style w:type="character" w:styleId="11">
    <w:name w:val="Hyperlink"/>
    <w:basedOn w:val="7"/>
    <w:qFormat/>
    <w:uiPriority w:val="0"/>
    <w:rPr>
      <w:color w:val="393939"/>
      <w:u w:val="none"/>
    </w:rPr>
  </w:style>
  <w:style w:type="character" w:styleId="12">
    <w:name w:val="HTML Code"/>
    <w:basedOn w:val="7"/>
    <w:qFormat/>
    <w:uiPriority w:val="0"/>
    <w:rPr>
      <w:rFonts w:ascii="Courier New" w:hAnsi="Courier New" w:eastAsia="Courier New" w:cs="Courier New"/>
      <w:color w:val="DD1144"/>
      <w:sz w:val="12"/>
      <w:szCs w:val="12"/>
      <w:bdr w:val="single" w:color="E1E1E8" w:sz="4" w:space="0"/>
      <w:shd w:val="clear" w:color="auto" w:fill="F7F7F9"/>
    </w:rPr>
  </w:style>
  <w:style w:type="character" w:styleId="13">
    <w:name w:val="HTML Cite"/>
    <w:basedOn w:val="7"/>
    <w:qFormat/>
    <w:uiPriority w:val="0"/>
  </w:style>
  <w:style w:type="table" w:customStyle="1" w:styleId="15">
    <w:name w:val="Table Normal"/>
    <w:unhideWhenUsed/>
    <w:qFormat/>
    <w:uiPriority w:val="2"/>
    <w:tblPr>
      <w:tblCellMar>
        <w:top w:w="0" w:type="dxa"/>
        <w:left w:w="0" w:type="dxa"/>
        <w:bottom w:w="0" w:type="dxa"/>
        <w:right w:w="0" w:type="dxa"/>
      </w:tblCellMar>
    </w:tblPr>
  </w:style>
  <w:style w:type="paragraph" w:customStyle="1" w:styleId="16">
    <w:name w:val="列出段落1"/>
    <w:basedOn w:val="1"/>
    <w:qFormat/>
    <w:uiPriority w:val="1"/>
  </w:style>
  <w:style w:type="paragraph" w:customStyle="1" w:styleId="17">
    <w:name w:val="Table Paragraph"/>
    <w:basedOn w:val="1"/>
    <w:qFormat/>
    <w:uiPriority w:val="1"/>
  </w:style>
  <w:style w:type="character" w:customStyle="1" w:styleId="18">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736</Words>
  <Characters>4200</Characters>
  <Lines>35</Lines>
  <Paragraphs>9</Paragraphs>
  <TotalTime>0</TotalTime>
  <ScaleCrop>false</ScaleCrop>
  <LinksUpToDate>false</LinksUpToDate>
  <CharactersWithSpaces>4927</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2020-08-07T11:15:00Z</dcterms:created>
  <dc:creator>Administrator</dc:creator>
  <cp:lastModifiedBy>ningyupeng</cp:lastModifiedBy>
  <dcterms:modified xsi:type="dcterms:W3CDTF">2020-08-07T13:52:55Z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2017-09-02T00:00:00Z</vt:filetime>
  </property>
  <property fmtid="{D5CDD505-2E9C-101B-9397-08002B2CF9AE}" pid="3" name="Creator">
    <vt:lpwstr>Microsoft? Office Word 2007</vt:lpwstr>
  </property>
  <property fmtid="{D5CDD505-2E9C-101B-9397-08002B2CF9AE}" pid="4" name="LastSaved">
    <vt:filetime>2018-07-30T00:00:00Z</vt:filetime>
  </property>
  <property fmtid="{D5CDD505-2E9C-101B-9397-08002B2CF9AE}" pid="5" name="KSORubyTemplateID" linkTarget="0">
    <vt:lpwstr>6</vt:lpwstr>
  </property>
  <property fmtid="{D5CDD505-2E9C-101B-9397-08002B2CF9AE}" pid="6" name="KSOProductBuildVer">
    <vt:lpwstr>2052-2.5.0.4070</vt:lpwstr>
  </property>
</Properties>
</file>